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AC3E7B" w:rsidRPr="00AC3E7B" w:rsidTr="00AC40CC">
        <w:trPr>
          <w:trHeight w:val="566"/>
        </w:trPr>
        <w:tc>
          <w:tcPr>
            <w:tcW w:w="9333" w:type="dxa"/>
            <w:gridSpan w:val="5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SPRAWOZDANIE Z ĆWICZENIA LABORATORYJNEGO Z </w:t>
            </w:r>
          </w:p>
          <w:p w:rsidR="00AC3E7B" w:rsidRPr="00AC3E7B" w:rsidRDefault="004405D2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PRZYRZĄDÓW PÓŁPRZEWODNIKOWYCH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AC3E7B" w:rsidRPr="00AC3E7B" w:rsidTr="006A0C74">
        <w:trPr>
          <w:trHeight w:val="1118"/>
        </w:trPr>
        <w:tc>
          <w:tcPr>
            <w:tcW w:w="4335" w:type="dxa"/>
            <w:gridSpan w:val="3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KOLEGIUM KARKONOWSKIE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w Jeleniej Górze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655105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Temat ćwiczenia: 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Badanie charakterystyk statycznych tranzystorów bipolarnych.</w:t>
            </w:r>
          </w:p>
          <w:p w:rsidR="00AC3E7B" w:rsidRPr="00AC3E7B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(ćwiczenie nr 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B" w:rsidRPr="00AC3E7B" w:rsidTr="00AC40CC">
        <w:trPr>
          <w:trHeight w:val="836"/>
        </w:trPr>
        <w:tc>
          <w:tcPr>
            <w:tcW w:w="4335" w:type="dxa"/>
            <w:gridSpan w:val="3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AC3E7B" w:rsidRPr="00AC3E7B" w:rsidRDefault="00AC3E7B" w:rsidP="00F67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.10.2007</w:t>
            </w:r>
          </w:p>
        </w:tc>
        <w:tc>
          <w:tcPr>
            <w:tcW w:w="25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Ocena:</w:t>
            </w:r>
          </w:p>
        </w:tc>
      </w:tr>
      <w:tr w:rsidR="00AC3E7B" w:rsidRPr="00AC3E7B" w:rsidTr="006A0C74">
        <w:trPr>
          <w:trHeight w:val="566"/>
        </w:trPr>
        <w:tc>
          <w:tcPr>
            <w:tcW w:w="1489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Specjalizacja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Semestr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3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6A0C74" w:rsidRDefault="009915B8" w:rsidP="009915B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Cel ćwiczenia</w:t>
      </w:r>
    </w:p>
    <w:p w:rsidR="009915B8" w:rsidRPr="00CB4AC0" w:rsidRDefault="009915B8" w:rsidP="009915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>Celem ćwiczenia jest pomiar charakterystyk statycznych oraz wyznaczanie</w:t>
      </w:r>
    </w:p>
    <w:p w:rsidR="009915B8" w:rsidRPr="00CB4AC0" w:rsidRDefault="009915B8" w:rsidP="009915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parametrów statycznych i </w:t>
      </w:r>
      <w:proofErr w:type="spellStart"/>
      <w:r w:rsidRPr="00CB4AC0">
        <w:rPr>
          <w:rFonts w:ascii="Times New Roman" w:hAnsi="Times New Roman" w:cs="Times New Roman"/>
          <w:sz w:val="24"/>
          <w:szCs w:val="24"/>
        </w:rPr>
        <w:t>małosygnałowych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 xml:space="preserve"> tranzystora bipolarnego na</w:t>
      </w:r>
    </w:p>
    <w:p w:rsidR="009915B8" w:rsidRPr="00CB4AC0" w:rsidRDefault="009915B8" w:rsidP="009915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>przykładzie układu ze wspólnym emiterem.</w:t>
      </w: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C74" w:rsidRPr="006A0C74" w:rsidRDefault="009915B8" w:rsidP="006A0C7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Wstęp teoretyczny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Tranzystorem bipolarnym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zwany też warstwowym, stanowi kombinacją dwóch półprzewodnikowych złączy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, wytworzonych w jednej płytce półprzewodnika. Procesy zachodzące w jednym złączu oddziałują na drugie, a nośnikami ładunku elektrycznego są dziury i elektrony. Tranzystory bipolarne wykonywane są najczęściej z krzemu, rzadziej z germanu. Ze względu na kolejność ułożenia warstw półprzewodnika rozróżniamy: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tranzystory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,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tranzystory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n-p-n</w:t>
      </w:r>
      <w:proofErr w:type="spellEnd"/>
      <w:r w:rsidRPr="006A0C74">
        <w:rPr>
          <w:rFonts w:ascii="Times New Roman" w:eastAsia="Times New Roman" w:hAnsi="Times New Roman" w:cs="Times New Roman"/>
          <w:i/>
          <w:iCs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.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Mogą one być z: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jednorodną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bazą (dyfuzyjny),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niejednorodną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bazą (</w:t>
      </w:r>
      <w:proofErr w:type="spellStart"/>
      <w:r w:rsidRPr="006A0C74">
        <w:rPr>
          <w:rFonts w:ascii="Times New Roman" w:eastAsia="Times New Roman" w:hAnsi="Times New Roman" w:cs="Times New Roman"/>
          <w:sz w:val="24"/>
          <w:lang w:eastAsia="pl-PL"/>
        </w:rPr>
        <w:t>dryfytowy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).</w:t>
      </w:r>
    </w:p>
    <w:p w:rsidR="006A0C74" w:rsidRPr="006A0C74" w:rsidRDefault="006A0C74" w:rsidP="006A0C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Zasada działania tranzystora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n-p-n</w:t>
      </w:r>
      <w:proofErr w:type="spellEnd"/>
      <w:r w:rsidRPr="006A0C74">
        <w:rPr>
          <w:rFonts w:ascii="Times New Roman" w:eastAsia="Times New Roman" w:hAnsi="Times New Roman" w:cs="Times New Roman"/>
          <w:i/>
          <w:iCs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i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jest jednakowa, różnice występują tylko w polaryzacji zewnętrznych źródeł napięcia i kierunku przepływu prądów.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Tranzystor bipolarny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składa się z trzech obszarów o przeciwnym typie przewodnictwa, co powoduje powstanie dwóch złączy: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i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. W tranzystorze bipolarnym poszczególne obszary półprzewodnika mają swoją nazwę: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B</w:t>
      </w: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–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baza,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E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– emiter,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C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– kolektor. A złącza nazywa się </w:t>
      </w:r>
    </w:p>
    <w:p w:rsid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złączem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emiterowym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(złącze emiter-baza);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złączem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kolektorowym (złącze baza-kolektor). 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Struktura półprzewodnikowa tranzystora jest umieszczana w hermetycznie zamkniętej obudowie metalowej, ceramicznej lub plastykowej.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Obudowa ta chroni przed uszkodzeniami mechanicznymi, jak również spełnia inne funkcje,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np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. w tranzystorach średniej i dużej mocy umożliwia skuteczne odprowadzenie ciepła.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066"/>
      </w:tblGrid>
      <w:tr w:rsidR="006A0C74" w:rsidRPr="006A0C74" w:rsidTr="006A0C74">
        <w:trPr>
          <w:gridAfter w:val="1"/>
          <w:trHeight w:val="240"/>
          <w:tblCellSpacing w:w="0" w:type="dxa"/>
        </w:trPr>
        <w:tc>
          <w:tcPr>
            <w:tcW w:w="285" w:type="dxa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0C74" w:rsidRPr="006A0C74" w:rsidTr="006A0C74">
        <w:trPr>
          <w:tblCellSpacing w:w="0" w:type="dxa"/>
        </w:trPr>
        <w:tc>
          <w:tcPr>
            <w:tcW w:w="0" w:type="auto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A0C74" w:rsidRPr="006A0C74" w:rsidRDefault="006A0C74" w:rsidP="0094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5866790" cy="1821485"/>
                  <wp:effectExtent l="0" t="0" r="0" b="0"/>
                  <wp:docPr id="1" name="Obraz 1" descr="http://www.elektroda.net/pomoce/doc/elektronika/tranzystory%20bipolarne_pliki/image0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lektroda.net/pomoce/doc/elektronika/tranzystory%20bipolarne_pliki/image0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4446" cy="1823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E7B" w:rsidRPr="00CB4AC0" w:rsidRDefault="00CB4AC0" w:rsidP="00AC3E7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A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Przebieg ćwiczenia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>Wyznaczamy trzy rodziny charakterystyk statycznych: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wejściowa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B4AC0">
        <w:rPr>
          <w:rFonts w:ascii="Times New Roman" w:hAnsi="Times New Roman" w:cs="Times New Roman"/>
          <w:sz w:val="24"/>
          <w:szCs w:val="24"/>
        </w:rPr>
        <w:t xml:space="preserve">, 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przejściowa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CB4AC0">
        <w:rPr>
          <w:rFonts w:ascii="Times New Roman" w:hAnsi="Times New Roman" w:cs="Times New Roman"/>
          <w:sz w:val="24"/>
          <w:szCs w:val="24"/>
        </w:rPr>
        <w:t xml:space="preserve">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AC3E7B" w:rsidRPr="00CB4AC0" w:rsidRDefault="00CB4AC0" w:rsidP="00CB4A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wyjściowa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CB4AC0">
        <w:rPr>
          <w:rFonts w:ascii="Times New Roman" w:hAnsi="Times New Roman" w:cs="Times New Roman"/>
          <w:sz w:val="24"/>
          <w:szCs w:val="24"/>
        </w:rPr>
        <w:t xml:space="preserve">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Default="00CB4AC0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AC0">
        <w:rPr>
          <w:rFonts w:ascii="Times New Roman" w:hAnsi="Times New Roman" w:cs="Times New Roman"/>
          <w:b/>
          <w:sz w:val="24"/>
          <w:szCs w:val="24"/>
        </w:rPr>
        <w:t>Schemat połączeń</w:t>
      </w:r>
    </w:p>
    <w:p w:rsidR="00174274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4274" w:rsidRPr="00CB4AC0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E7B" w:rsidRPr="00AC3E7B" w:rsidRDefault="00174274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2226683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26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274" w:rsidRPr="00174274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4274">
        <w:rPr>
          <w:rFonts w:ascii="Times New Roman" w:hAnsi="Times New Roman" w:cs="Times New Roman"/>
          <w:b/>
          <w:sz w:val="24"/>
          <w:szCs w:val="24"/>
        </w:rPr>
        <w:t>Dane katalogowe BC 547 C</w:t>
      </w:r>
    </w:p>
    <w:p w:rsidR="00AC3E7B" w:rsidRDefault="00D1442C" w:rsidP="00EE4A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213352" cy="3599078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909" cy="3599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Pr="00AC3E7B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E2C29" w:rsidRDefault="00AE2C29" w:rsidP="00AE2C2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C29">
        <w:rPr>
          <w:rFonts w:ascii="Times New Roman" w:hAnsi="Times New Roman" w:cs="Times New Roman"/>
          <w:b/>
          <w:sz w:val="24"/>
          <w:szCs w:val="24"/>
        </w:rPr>
        <w:lastRenderedPageBreak/>
        <w:t>Tabele pomiarowe i wykresy</w:t>
      </w: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-352" w:tblpY="33"/>
        <w:tblW w:w="9889" w:type="dxa"/>
        <w:tblLayout w:type="fixed"/>
        <w:tblLook w:val="04A0"/>
      </w:tblPr>
      <w:tblGrid>
        <w:gridCol w:w="1135"/>
        <w:gridCol w:w="743"/>
        <w:gridCol w:w="756"/>
        <w:gridCol w:w="722"/>
        <w:gridCol w:w="722"/>
        <w:gridCol w:w="722"/>
        <w:gridCol w:w="722"/>
        <w:gridCol w:w="722"/>
        <w:gridCol w:w="722"/>
        <w:gridCol w:w="722"/>
        <w:gridCol w:w="722"/>
        <w:gridCol w:w="770"/>
        <w:gridCol w:w="709"/>
      </w:tblGrid>
      <w:tr w:rsidR="00AC3E7B" w:rsidRPr="00AC3E7B" w:rsidTr="007B209D">
        <w:tc>
          <w:tcPr>
            <w:tcW w:w="9889" w:type="dxa"/>
            <w:gridSpan w:val="13"/>
            <w:vAlign w:val="center"/>
          </w:tcPr>
          <w:p w:rsidR="00AC3E7B" w:rsidRPr="00AC3E7B" w:rsidRDefault="00BA3552" w:rsidP="00BA35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Charakterystyka</w:t>
            </w:r>
            <w:r w:rsidR="00AC3E7B" w:rsidRPr="00AC3E7B">
              <w:rPr>
                <w:rFonts w:ascii="Times New Roman" w:hAnsi="Times New Roman" w:cs="Times New Roman"/>
                <w:szCs w:val="24"/>
              </w:rPr>
              <w:t xml:space="preserve"> wejściow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</w:p>
        </w:tc>
      </w:tr>
      <w:tr w:rsidR="00AC3E7B" w:rsidRPr="00AC3E7B" w:rsidTr="007B209D">
        <w:tc>
          <w:tcPr>
            <w:tcW w:w="1135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</w:p>
        </w:tc>
        <w:tc>
          <w:tcPr>
            <w:tcW w:w="756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770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µA</w:t>
            </w:r>
          </w:p>
        </w:tc>
      </w:tr>
      <w:tr w:rsidR="00AC3E7B" w:rsidRPr="00AC3E7B" w:rsidTr="007B209D">
        <w:tc>
          <w:tcPr>
            <w:tcW w:w="1135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Cs w:val="24"/>
              </w:rPr>
              <w:t>=10V</w:t>
            </w:r>
          </w:p>
        </w:tc>
        <w:tc>
          <w:tcPr>
            <w:tcW w:w="743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</w:p>
        </w:tc>
        <w:tc>
          <w:tcPr>
            <w:tcW w:w="756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0,640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0,656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0,668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0,677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0,685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0,694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0,702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0,706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0,709</w:t>
            </w:r>
          </w:p>
        </w:tc>
        <w:tc>
          <w:tcPr>
            <w:tcW w:w="770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0,711</w:t>
            </w:r>
          </w:p>
        </w:tc>
        <w:tc>
          <w:tcPr>
            <w:tcW w:w="709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  <w:tr w:rsidR="00AC3E7B" w:rsidRPr="00AC3E7B" w:rsidTr="007B209D">
        <w:tc>
          <w:tcPr>
            <w:tcW w:w="1135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Cs w:val="24"/>
              </w:rPr>
              <w:t>=15V</w:t>
            </w:r>
          </w:p>
        </w:tc>
        <w:tc>
          <w:tcPr>
            <w:tcW w:w="743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</w:p>
        </w:tc>
        <w:tc>
          <w:tcPr>
            <w:tcW w:w="756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0,631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0,648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0,657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0,665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0,673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0,681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0,689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0,698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0,705</w:t>
            </w:r>
          </w:p>
        </w:tc>
        <w:tc>
          <w:tcPr>
            <w:tcW w:w="770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0,714</w:t>
            </w:r>
          </w:p>
        </w:tc>
        <w:tc>
          <w:tcPr>
            <w:tcW w:w="709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  <w:tr w:rsidR="00AC3E7B" w:rsidRPr="00AC3E7B" w:rsidTr="007B209D">
        <w:tc>
          <w:tcPr>
            <w:tcW w:w="1135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Cs w:val="24"/>
              </w:rPr>
              <w:t>=20V</w:t>
            </w:r>
          </w:p>
        </w:tc>
        <w:tc>
          <w:tcPr>
            <w:tcW w:w="743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</w:p>
        </w:tc>
        <w:tc>
          <w:tcPr>
            <w:tcW w:w="756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0,631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0,649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0,650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0,655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0,660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0,664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0,670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0,677</w:t>
            </w:r>
          </w:p>
        </w:tc>
        <w:tc>
          <w:tcPr>
            <w:tcW w:w="722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0,684</w:t>
            </w:r>
          </w:p>
        </w:tc>
        <w:tc>
          <w:tcPr>
            <w:tcW w:w="770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0,690</w:t>
            </w:r>
          </w:p>
        </w:tc>
        <w:tc>
          <w:tcPr>
            <w:tcW w:w="709" w:type="dxa"/>
            <w:vAlign w:val="center"/>
          </w:tcPr>
          <w:p w:rsidR="00AC3E7B" w:rsidRPr="00AC3E7B" w:rsidRDefault="00AC3E7B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</w:tbl>
    <w:p w:rsidR="00AC3E7B" w:rsidRPr="00AC3E7B" w:rsidRDefault="00AC3E7B" w:rsidP="00B950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E7F" w:rsidRDefault="00B950D1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B950D1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488582" cy="2933395"/>
            <wp:effectExtent l="0" t="0" r="0" b="0"/>
            <wp:docPr id="7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B209D" w:rsidRPr="00AC3E7B" w:rsidRDefault="007B209D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-472" w:type="dxa"/>
        <w:tblLayout w:type="fixed"/>
        <w:tblLook w:val="04A0"/>
      </w:tblPr>
      <w:tblGrid>
        <w:gridCol w:w="1560"/>
        <w:gridCol w:w="668"/>
        <w:gridCol w:w="879"/>
        <w:gridCol w:w="878"/>
        <w:gridCol w:w="878"/>
        <w:gridCol w:w="879"/>
        <w:gridCol w:w="878"/>
        <w:gridCol w:w="878"/>
        <w:gridCol w:w="1322"/>
      </w:tblGrid>
      <w:tr w:rsidR="00236137" w:rsidRPr="00AC3E7B" w:rsidTr="00AC3E7B">
        <w:trPr>
          <w:jc w:val="center"/>
        </w:trPr>
        <w:tc>
          <w:tcPr>
            <w:tcW w:w="8820" w:type="dxa"/>
            <w:gridSpan w:val="9"/>
            <w:vAlign w:val="center"/>
          </w:tcPr>
          <w:p w:rsidR="00236137" w:rsidRPr="00AC3E7B" w:rsidRDefault="004D2DB5" w:rsidP="00BA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Charakterystyk</w:t>
            </w:r>
            <w:r w:rsidR="00BA355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wyjściow</w:t>
            </w:r>
            <w:r w:rsidR="00BA355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C3E7B" w:rsidRPr="00AC3E7B" w:rsidTr="00AC3E7B">
        <w:trPr>
          <w:jc w:val="center"/>
        </w:trPr>
        <w:tc>
          <w:tcPr>
            <w:tcW w:w="1560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CE</w:t>
            </w:r>
          </w:p>
        </w:tc>
        <w:tc>
          <w:tcPr>
            <w:tcW w:w="879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2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AC3E7B" w:rsidRPr="00AC3E7B" w:rsidTr="00AC3E7B">
        <w:trPr>
          <w:jc w:val="center"/>
        </w:trPr>
        <w:tc>
          <w:tcPr>
            <w:tcW w:w="1560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811B4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7,5 µA</w:t>
            </w:r>
          </w:p>
        </w:tc>
        <w:tc>
          <w:tcPr>
            <w:tcW w:w="66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22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AC3E7B" w:rsidRPr="00AC3E7B" w:rsidTr="00AC3E7B">
        <w:trPr>
          <w:jc w:val="center"/>
        </w:trPr>
        <w:tc>
          <w:tcPr>
            <w:tcW w:w="1560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=15,0 µA</w:t>
            </w:r>
          </w:p>
        </w:tc>
        <w:tc>
          <w:tcPr>
            <w:tcW w:w="66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322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AC3E7B" w:rsidRPr="00AC3E7B" w:rsidTr="00AC3E7B">
        <w:trPr>
          <w:jc w:val="center"/>
        </w:trPr>
        <w:tc>
          <w:tcPr>
            <w:tcW w:w="1560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=22,5 µA</w:t>
            </w:r>
          </w:p>
        </w:tc>
        <w:tc>
          <w:tcPr>
            <w:tcW w:w="66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322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AC3E7B" w:rsidRPr="00AC3E7B" w:rsidTr="00AC3E7B">
        <w:trPr>
          <w:jc w:val="center"/>
        </w:trPr>
        <w:tc>
          <w:tcPr>
            <w:tcW w:w="1560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=30,0 µA</w:t>
            </w:r>
          </w:p>
        </w:tc>
        <w:tc>
          <w:tcPr>
            <w:tcW w:w="668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9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78" w:type="dxa"/>
            <w:vAlign w:val="center"/>
          </w:tcPr>
          <w:p w:rsidR="00F651C8" w:rsidRPr="00AC3E7B" w:rsidRDefault="00A3795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22" w:type="dxa"/>
            <w:vAlign w:val="center"/>
          </w:tcPr>
          <w:p w:rsidR="00F651C8" w:rsidRPr="00AC3E7B" w:rsidRDefault="00F651C8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</w:tbl>
    <w:p w:rsidR="00236137" w:rsidRDefault="00236137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09D" w:rsidRPr="00AC3E7B" w:rsidRDefault="00F745E3" w:rsidP="003722F8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F745E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473952" cy="3335731"/>
            <wp:effectExtent l="0" t="0" r="0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2FEF" w:rsidRDefault="00BE2FE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4B3" w:rsidRPr="00AC3E7B" w:rsidRDefault="002934B3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143"/>
        <w:gridCol w:w="660"/>
        <w:gridCol w:w="669"/>
        <w:gridCol w:w="669"/>
        <w:gridCol w:w="669"/>
        <w:gridCol w:w="675"/>
        <w:gridCol w:w="675"/>
        <w:gridCol w:w="689"/>
        <w:gridCol w:w="689"/>
        <w:gridCol w:w="689"/>
        <w:gridCol w:w="689"/>
        <w:gridCol w:w="689"/>
        <w:gridCol w:w="683"/>
      </w:tblGrid>
      <w:tr w:rsidR="00BE2FEF" w:rsidRPr="00AC3E7B" w:rsidTr="00AC40CC">
        <w:tc>
          <w:tcPr>
            <w:tcW w:w="9288" w:type="dxa"/>
            <w:gridSpan w:val="13"/>
            <w:vAlign w:val="center"/>
          </w:tcPr>
          <w:p w:rsidR="00BE2FEF" w:rsidRPr="00AC3E7B" w:rsidRDefault="00BA3552" w:rsidP="00BA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Charakterystyka</w:t>
            </w:r>
            <w:r w:rsidR="004D2DB5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przejściow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E2FEF" w:rsidRPr="00AC3E7B" w:rsidTr="00AC40CC">
        <w:tc>
          <w:tcPr>
            <w:tcW w:w="958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</w:p>
        </w:tc>
        <w:tc>
          <w:tcPr>
            <w:tcW w:w="689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9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9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µA</w:t>
            </w:r>
          </w:p>
        </w:tc>
      </w:tr>
      <w:tr w:rsidR="00BE2FEF" w:rsidRPr="00AC3E7B" w:rsidTr="00AC40CC">
        <w:tc>
          <w:tcPr>
            <w:tcW w:w="958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=10V</w:t>
            </w:r>
          </w:p>
        </w:tc>
        <w:tc>
          <w:tcPr>
            <w:tcW w:w="694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7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BE2FEF" w:rsidRPr="00AC3E7B" w:rsidTr="00AC40CC">
        <w:tc>
          <w:tcPr>
            <w:tcW w:w="958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=15V</w:t>
            </w:r>
          </w:p>
        </w:tc>
        <w:tc>
          <w:tcPr>
            <w:tcW w:w="694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697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BE2FEF" w:rsidRPr="00AC3E7B" w:rsidTr="00AC40CC">
        <w:tc>
          <w:tcPr>
            <w:tcW w:w="958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=20V</w:t>
            </w:r>
          </w:p>
        </w:tc>
        <w:tc>
          <w:tcPr>
            <w:tcW w:w="694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89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96" w:type="dxa"/>
            <w:vAlign w:val="center"/>
          </w:tcPr>
          <w:p w:rsidR="00E30F05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696" w:type="dxa"/>
            <w:vAlign w:val="center"/>
          </w:tcPr>
          <w:p w:rsidR="00BE2FEF" w:rsidRPr="00AC3E7B" w:rsidRDefault="00E30F05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697" w:type="dxa"/>
            <w:vAlign w:val="center"/>
          </w:tcPr>
          <w:p w:rsidR="00BE2FEF" w:rsidRPr="00AC3E7B" w:rsidRDefault="00BE2FEF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</w:tbl>
    <w:p w:rsidR="00BE2FEF" w:rsidRDefault="00BE2FE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D46" w:rsidRDefault="00C024CC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C024C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495897" cy="2882189"/>
            <wp:effectExtent l="0" t="0" r="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F74A4" w:rsidRDefault="009F74A4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9F74A4" w:rsidRDefault="009F74A4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Pr="002934B3" w:rsidRDefault="002934B3" w:rsidP="002934B3">
      <w:pPr>
        <w:pStyle w:val="Tytunagweksprawozdania"/>
      </w:pPr>
      <w:r w:rsidRPr="002934B3">
        <w:t>Wyznaczenie najważniejszych parametrów tranzystora :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  <w:i/>
          <w:position w:val="0"/>
          <w:sz w:val="24"/>
        </w:rPr>
      </w:pPr>
    </w:p>
    <w:p w:rsidR="002934B3" w:rsidRPr="002934B3" w:rsidRDefault="002934B3" w:rsidP="002934B3">
      <w:pPr>
        <w:pStyle w:val="Tekstsprawozdania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β</w:t>
      </w:r>
      <w:r w:rsidRPr="002934B3">
        <w:rPr>
          <w:rFonts w:ascii="Times New Roman" w:hAnsi="Times New Roman"/>
        </w:rPr>
        <w:t></w:t>
      </w:r>
      <w:r w:rsidRPr="002934B3">
        <w:rPr>
          <w:rFonts w:ascii="Times New Roman" w:hAnsi="Times New Roman"/>
        </w:rPr>
        <w:t></w:t>
      </w:r>
      <w:r w:rsidRPr="002934B3">
        <w:rPr>
          <w:rFonts w:ascii="Times New Roman" w:hAnsi="Times New Roman"/>
        </w:rPr>
        <w:t></w:t>
      </w:r>
      <w:r w:rsidRPr="002934B3">
        <w:rPr>
          <w:rFonts w:ascii="Times New Roman" w:hAnsi="Times New Roman"/>
        </w:rPr>
        <w:t></w:t>
      </w:r>
      <w:r w:rsidRPr="002934B3">
        <w:rPr>
          <w:rFonts w:ascii="Times New Roman" w:hAnsi="Times New Roman"/>
        </w:rPr>
        <w:t></w:t>
      </w:r>
      <w:proofErr w:type="spellEnd"/>
      <w:r w:rsidRPr="002934B3">
        <w:rPr>
          <w:rFonts w:ascii="Times New Roman" w:hAnsi="Times New Roman"/>
        </w:rPr>
        <w:t xml:space="preserve"> -  współczynnik wzmocnienia prądowego 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</w:rPr>
      </w:pPr>
      <w:r w:rsidRPr="002934B3">
        <w:rPr>
          <w:rFonts w:ascii="Times New Roman" w:hAnsi="Times New Roman"/>
        </w:rPr>
        <w:t>h</w:t>
      </w:r>
      <w:r w:rsidRPr="002934B3">
        <w:rPr>
          <w:rFonts w:ascii="Times New Roman" w:hAnsi="Times New Roman"/>
          <w:vertAlign w:val="subscript"/>
        </w:rPr>
        <w:t>11</w:t>
      </w:r>
      <w:r w:rsidRPr="002934B3">
        <w:rPr>
          <w:rFonts w:ascii="Times New Roman" w:hAnsi="Times New Roman"/>
        </w:rPr>
        <w:t xml:space="preserve"> - impedancja wejściowa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</w:rPr>
      </w:pPr>
      <w:r w:rsidRPr="002934B3">
        <w:rPr>
          <w:rFonts w:ascii="Times New Roman" w:hAnsi="Times New Roman"/>
        </w:rPr>
        <w:t>h</w:t>
      </w:r>
      <w:r w:rsidRPr="002934B3">
        <w:rPr>
          <w:rFonts w:ascii="Times New Roman" w:hAnsi="Times New Roman"/>
          <w:vertAlign w:val="subscript"/>
        </w:rPr>
        <w:t>12</w:t>
      </w:r>
      <w:r w:rsidRPr="002934B3">
        <w:rPr>
          <w:rFonts w:ascii="Times New Roman" w:hAnsi="Times New Roman"/>
        </w:rPr>
        <w:t xml:space="preserve"> - współczynnik sprzężenia zwrotnego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</w:rPr>
      </w:pPr>
      <w:r w:rsidRPr="002934B3">
        <w:rPr>
          <w:rFonts w:ascii="Times New Roman" w:hAnsi="Times New Roman"/>
        </w:rPr>
        <w:t>h</w:t>
      </w:r>
      <w:r w:rsidRPr="002934B3">
        <w:rPr>
          <w:rFonts w:ascii="Times New Roman" w:hAnsi="Times New Roman"/>
          <w:vertAlign w:val="subscript"/>
        </w:rPr>
        <w:t>21</w:t>
      </w:r>
      <w:r w:rsidRPr="002934B3">
        <w:rPr>
          <w:rFonts w:ascii="Times New Roman" w:hAnsi="Times New Roman"/>
        </w:rPr>
        <w:t xml:space="preserve"> - współczynnik sprzężenia prądowego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</w:rPr>
      </w:pPr>
      <w:r w:rsidRPr="002934B3">
        <w:rPr>
          <w:rFonts w:ascii="Times New Roman" w:hAnsi="Times New Roman"/>
        </w:rPr>
        <w:t>h</w:t>
      </w:r>
      <w:r w:rsidRPr="002934B3">
        <w:rPr>
          <w:rFonts w:ascii="Times New Roman" w:hAnsi="Times New Roman"/>
          <w:vertAlign w:val="subscript"/>
        </w:rPr>
        <w:t>22</w:t>
      </w:r>
      <w:r w:rsidRPr="002934B3">
        <w:rPr>
          <w:rFonts w:ascii="Times New Roman" w:hAnsi="Times New Roman"/>
        </w:rPr>
        <w:t xml:space="preserve"> - </w:t>
      </w:r>
      <w:proofErr w:type="spellStart"/>
      <w:r w:rsidRPr="002934B3">
        <w:rPr>
          <w:rFonts w:ascii="Times New Roman" w:hAnsi="Times New Roman"/>
        </w:rPr>
        <w:t>admitancja</w:t>
      </w:r>
      <w:proofErr w:type="spellEnd"/>
      <w:r w:rsidRPr="002934B3">
        <w:rPr>
          <w:rFonts w:ascii="Times New Roman" w:hAnsi="Times New Roman"/>
        </w:rPr>
        <w:t xml:space="preserve"> wyjściowa</w:t>
      </w:r>
    </w:p>
    <w:p w:rsidR="009F74A4" w:rsidRPr="002934B3" w:rsidRDefault="009F74A4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 w:rsidRPr="00731313">
        <w:rPr>
          <w:position w:val="-98"/>
        </w:rPr>
        <w:object w:dxaOrig="3640" w:dyaOrig="2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pt;height:103.7pt" o:ole="">
            <v:imagedata r:id="rId11" o:title=""/>
          </v:shape>
          <o:OLEObject Type="Embed" ProgID="Equation.3" ShapeID="_x0000_i1025" DrawAspect="Content" ObjectID="_1327949209" r:id="rId12"/>
        </w:object>
      </w: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P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</w:t>
      </w:r>
      <w:r w:rsidRPr="002934B3">
        <w:rPr>
          <w:rFonts w:ascii="Times New Roman" w:hAnsi="Times New Roman" w:cs="Times New Roman"/>
          <w:sz w:val="24"/>
        </w:rPr>
        <w:t xml:space="preserve">Obliczenia parametrów </w:t>
      </w:r>
      <w:proofErr w:type="spellStart"/>
      <w:r w:rsidRPr="002934B3">
        <w:rPr>
          <w:rFonts w:ascii="Times New Roman" w:hAnsi="Times New Roman" w:cs="Times New Roman"/>
          <w:sz w:val="24"/>
        </w:rPr>
        <w:t>h</w:t>
      </w:r>
      <w:r w:rsidRPr="002934B3">
        <w:rPr>
          <w:rFonts w:ascii="Times New Roman" w:hAnsi="Times New Roman" w:cs="Times New Roman"/>
          <w:sz w:val="24"/>
          <w:vertAlign w:val="subscript"/>
        </w:rPr>
        <w:t>xx</w:t>
      </w:r>
      <w:proofErr w:type="spellEnd"/>
    </w:p>
    <w:p w:rsidR="002934B3" w:rsidRDefault="00D058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26" type="#_x0000_t75" style="position:absolute;margin-left:7.1pt;margin-top:10.15pt;width:198pt;height:423pt;z-index:251658240" o:allowincell="f">
            <v:imagedata r:id="rId13" o:title=""/>
          </v:shape>
          <o:OLEObject Type="Embed" ProgID="Equation.3" ShapeID="_x0000_s1026" DrawAspect="Content" ObjectID="_1327949210" r:id="rId14"/>
        </w:pict>
      </w: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</w:p>
    <w:p w:rsidR="00210AEE" w:rsidRDefault="00210AEE" w:rsidP="00C024CC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</w:p>
    <w:p w:rsidR="00210AEE" w:rsidRPr="00210AEE" w:rsidRDefault="00210AEE" w:rsidP="00C024CC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</w:p>
    <w:p w:rsidR="00B95E51" w:rsidRDefault="00B95E51" w:rsidP="00B95E5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AEE">
        <w:rPr>
          <w:rFonts w:ascii="Times New Roman" w:hAnsi="Times New Roman" w:cs="Times New Roman"/>
          <w:b/>
          <w:sz w:val="24"/>
          <w:szCs w:val="24"/>
        </w:rPr>
        <w:t>Wnioski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 xml:space="preserve">Tranzystor jest elementem elektronicznym, którym możemy w sposób łatwy sterować przepływem ładunków. O tranzystorze bipolarnym możemy mówić jako o źródle prądowym sterowanym prądowo. Za pomocą małego prądu bazy możemy sterować wielokrotnie większym (choćby milion razy) prądem kolektora. Widać to doskonale przy „zabawie” przed rozpoczęciem ćwiczenia. Zwiększanie prądu bazy o kilka </w:t>
      </w:r>
      <w:r>
        <w:rPr>
          <w:rFonts w:ascii="Calibri" w:hAnsi="Calibri"/>
          <w:sz w:val="24"/>
        </w:rPr>
        <w:t>µ</w:t>
      </w:r>
      <w:r>
        <w:rPr>
          <w:rFonts w:ascii="Times New Roman" w:hAnsi="Times New Roman"/>
          <w:sz w:val="24"/>
        </w:rPr>
        <w:t>A</w:t>
      </w:r>
      <w:r w:rsidRPr="00210AEE">
        <w:rPr>
          <w:rFonts w:ascii="Times New Roman" w:hAnsi="Times New Roman"/>
          <w:sz w:val="24"/>
        </w:rPr>
        <w:t xml:space="preserve"> powoduje zwiększanie prądu kolektora o kilkanaście </w:t>
      </w:r>
      <w:proofErr w:type="spellStart"/>
      <w:r w:rsidRPr="00210AEE">
        <w:rPr>
          <w:rFonts w:ascii="Times New Roman" w:hAnsi="Times New Roman"/>
          <w:sz w:val="24"/>
        </w:rPr>
        <w:t>mA</w:t>
      </w:r>
      <w:proofErr w:type="spellEnd"/>
      <w:r w:rsidRPr="00210AEE">
        <w:rPr>
          <w:rFonts w:ascii="Times New Roman" w:hAnsi="Times New Roman"/>
          <w:sz w:val="24"/>
        </w:rPr>
        <w:t xml:space="preserve">. 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>Obwodem sterowania tranzystora jest typowe złącze półprzewodnikowe baza – emiter. Przy mniejszych napięciach U</w:t>
      </w:r>
      <w:r w:rsidRPr="00210AEE">
        <w:rPr>
          <w:rFonts w:ascii="Times New Roman" w:hAnsi="Times New Roman"/>
          <w:sz w:val="24"/>
          <w:vertAlign w:val="subscript"/>
        </w:rPr>
        <w:t>BE</w:t>
      </w:r>
      <w:r w:rsidRPr="00210AEE">
        <w:rPr>
          <w:rFonts w:ascii="Times New Roman" w:hAnsi="Times New Roman"/>
          <w:sz w:val="24"/>
        </w:rPr>
        <w:t xml:space="preserve"> płynie niewielki prąd bazy, lecz po przekroczeniu pewnej wartości, małe zmiany napięcia sterującego powodują duże zmiany prądu – warstwa zaporowa została pokonana, złącze przewodzi, tranzystor jest wysterowany. Złącze zaczyna przewodzić przy mniejszych napięciach U</w:t>
      </w:r>
      <w:r w:rsidRPr="00210AEE">
        <w:rPr>
          <w:rFonts w:ascii="Times New Roman" w:hAnsi="Times New Roman"/>
          <w:sz w:val="24"/>
          <w:vertAlign w:val="subscript"/>
        </w:rPr>
        <w:t>BE</w:t>
      </w:r>
      <w:r w:rsidRPr="00210AEE">
        <w:rPr>
          <w:rFonts w:ascii="Times New Roman" w:hAnsi="Times New Roman"/>
          <w:sz w:val="24"/>
        </w:rPr>
        <w:t xml:space="preserve"> im przy większych napięciach U</w:t>
      </w:r>
      <w:r w:rsidRPr="00210AEE">
        <w:rPr>
          <w:rFonts w:ascii="Times New Roman" w:hAnsi="Times New Roman"/>
          <w:sz w:val="24"/>
          <w:vertAlign w:val="subscript"/>
        </w:rPr>
        <w:t>CE</w:t>
      </w:r>
      <w:r w:rsidRPr="00210AEE">
        <w:rPr>
          <w:rFonts w:ascii="Times New Roman" w:hAnsi="Times New Roman"/>
          <w:sz w:val="24"/>
        </w:rPr>
        <w:t xml:space="preserve"> są prowadzone pomiary. </w:t>
      </w:r>
    </w:p>
    <w:p w:rsid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>Gdy wysterujemy tranzystor, prąd kolektora będzie wzrastał liniowo wraz ze wzrostem prądu sterującego – prądu bazy. Są one powiązane zależnością I</w:t>
      </w:r>
      <w:r w:rsidRPr="00210AEE">
        <w:rPr>
          <w:rFonts w:ascii="Times New Roman" w:hAnsi="Times New Roman"/>
          <w:sz w:val="24"/>
          <w:vertAlign w:val="subscript"/>
        </w:rPr>
        <w:t>C</w:t>
      </w:r>
      <w:r w:rsidRPr="00210AEE"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β</w:t>
      </w:r>
      <w:r w:rsidRPr="00210AEE">
        <w:rPr>
          <w:rFonts w:ascii="Times New Roman" w:hAnsi="Times New Roman"/>
          <w:sz w:val="24"/>
        </w:rPr>
        <w:t>*</w:t>
      </w:r>
      <w:r w:rsidRPr="00210AEE">
        <w:rPr>
          <w:rFonts w:ascii="Times New Roman" w:hAnsi="Times New Roman"/>
          <w:sz w:val="24"/>
        </w:rPr>
        <w:t>I</w:t>
      </w:r>
      <w:r w:rsidRPr="00210AEE">
        <w:rPr>
          <w:rFonts w:ascii="Times New Roman" w:hAnsi="Times New Roman"/>
          <w:sz w:val="24"/>
          <w:vertAlign w:val="subscript"/>
        </w:rPr>
        <w:t>B</w:t>
      </w:r>
      <w:proofErr w:type="spellEnd"/>
      <w:r w:rsidRPr="00210AEE">
        <w:rPr>
          <w:rFonts w:ascii="Times New Roman" w:hAnsi="Times New Roman"/>
          <w:sz w:val="24"/>
        </w:rPr>
        <w:t xml:space="preserve">. Obrazuje to charakterystyka przejściowa tranzystora. 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lastRenderedPageBreak/>
        <w:t>Jest to linia prosta nachylona pod pewnym kątem do osi X. Nachylenie wykresu zależy od napięcia U</w:t>
      </w:r>
      <w:r w:rsidRPr="00210AEE">
        <w:rPr>
          <w:rFonts w:ascii="Times New Roman" w:hAnsi="Times New Roman"/>
          <w:sz w:val="24"/>
          <w:vertAlign w:val="subscript"/>
        </w:rPr>
        <w:t>CE</w:t>
      </w:r>
      <w:r w:rsidRPr="00210AEE">
        <w:rPr>
          <w:rFonts w:ascii="Times New Roman" w:hAnsi="Times New Roman"/>
          <w:sz w:val="24"/>
        </w:rPr>
        <w:t xml:space="preserve">. Wraz ze wzrostem napięcia kolektor – emiter wzrasta również (do pewnego momentu) współczynnik wzmocnienia prądowego </w:t>
      </w:r>
      <w:r w:rsidRPr="00210AEE">
        <w:rPr>
          <w:rFonts w:ascii="Times New Roman" w:hAnsi="Times New Roman"/>
          <w:sz w:val="24"/>
        </w:rPr>
        <w:t></w:t>
      </w:r>
      <w:r w:rsidRPr="00210AEE">
        <w:rPr>
          <w:rFonts w:ascii="Times New Roman" w:hAnsi="Times New Roman"/>
          <w:sz w:val="24"/>
        </w:rPr>
        <w:t>i kąt charakterystyki się zwiększa. Gdybyśmy zwiększali jednak dalej napięcie U</w:t>
      </w:r>
      <w:r w:rsidRPr="00210AEE">
        <w:rPr>
          <w:rFonts w:ascii="Times New Roman" w:hAnsi="Times New Roman"/>
          <w:sz w:val="24"/>
          <w:vertAlign w:val="subscript"/>
        </w:rPr>
        <w:t>CE</w:t>
      </w:r>
      <w:r w:rsidRPr="00210AEE">
        <w:rPr>
          <w:rFonts w:ascii="Times New Roman" w:hAnsi="Times New Roman"/>
          <w:sz w:val="24"/>
        </w:rPr>
        <w:t>, to charakterystyki zaczęłyby „opadać”- po przekroczeniu pewnej wartości wzmocnienie prądowe spada. Dlatego właśnie najczęściej ogranicza się napięcie U</w:t>
      </w:r>
      <w:r w:rsidRPr="00210AEE">
        <w:rPr>
          <w:rFonts w:ascii="Times New Roman" w:hAnsi="Times New Roman"/>
          <w:sz w:val="24"/>
          <w:vertAlign w:val="subscript"/>
        </w:rPr>
        <w:t>CE</w:t>
      </w:r>
      <w:r w:rsidRPr="00210AEE">
        <w:rPr>
          <w:rFonts w:ascii="Times New Roman" w:hAnsi="Times New Roman"/>
          <w:sz w:val="24"/>
        </w:rPr>
        <w:t xml:space="preserve"> nie ze względu na uszkodzenie tranzystora, ale na spadek wzmocnienia. 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>Zmiany prądu wyjściowego (I</w:t>
      </w:r>
      <w:r w:rsidRPr="00210AEE">
        <w:rPr>
          <w:rFonts w:ascii="Times New Roman" w:hAnsi="Times New Roman"/>
          <w:sz w:val="24"/>
          <w:vertAlign w:val="subscript"/>
        </w:rPr>
        <w:t>C</w:t>
      </w:r>
      <w:r w:rsidRPr="00210AEE">
        <w:rPr>
          <w:rFonts w:ascii="Times New Roman" w:hAnsi="Times New Roman"/>
          <w:sz w:val="24"/>
        </w:rPr>
        <w:t>) w zależności od zmian napięcia U</w:t>
      </w:r>
      <w:r w:rsidRPr="00210AEE">
        <w:rPr>
          <w:rFonts w:ascii="Times New Roman" w:hAnsi="Times New Roman"/>
          <w:sz w:val="24"/>
          <w:vertAlign w:val="subscript"/>
        </w:rPr>
        <w:t xml:space="preserve">CE </w:t>
      </w:r>
      <w:r w:rsidRPr="00210AEE">
        <w:rPr>
          <w:rFonts w:ascii="Times New Roman" w:hAnsi="Times New Roman"/>
          <w:sz w:val="24"/>
        </w:rPr>
        <w:t>tranzystora przy wysterowaniu prądem bazy o stałej wartości obrazuje charakterystyka wyjściowa. Początkowo prąd kolektora rośnie bardzo szybko, jednak po przekroczeniu pewnej wartości wzrasta coraz wolniej, aż w końcu utrzymuje się prawie na stałym poziomie. Wtedy dalsze duże wzrosty napięcia U</w:t>
      </w:r>
      <w:r w:rsidRPr="00210AEE">
        <w:rPr>
          <w:rFonts w:ascii="Times New Roman" w:hAnsi="Times New Roman"/>
          <w:sz w:val="24"/>
          <w:vertAlign w:val="subscript"/>
        </w:rPr>
        <w:t>CE</w:t>
      </w:r>
      <w:r w:rsidRPr="00210AEE">
        <w:rPr>
          <w:rFonts w:ascii="Times New Roman" w:hAnsi="Times New Roman"/>
          <w:sz w:val="24"/>
        </w:rPr>
        <w:t xml:space="preserve"> nie powodują większych zmian prądu. Im dla większej wartości prądu bazy są prowadzone pomiary, tym prąd ten przyjmuje większe wartości. 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 xml:space="preserve">Jak widać praca tranzystora zależy od wielu czynników. Najmniejsza zmiana jednego z napięć, czy przede wszystkim prądu bazy, pociąga za sobą zmiany pozostałych. Stąd też należy pamiętać o prawidłowym, bezpiecznym ustaleniu punktu pracy, zabezpieczeniu tranzystora przed zbyt dużymi zmianami temperatury itp. </w:t>
      </w:r>
    </w:p>
    <w:p w:rsidR="00210AEE" w:rsidRPr="00210AEE" w:rsidRDefault="00210AEE" w:rsidP="00210AEE">
      <w:pPr>
        <w:pStyle w:val="Tekstsprawozdania"/>
        <w:rPr>
          <w:rFonts w:ascii="Times New Roman" w:hAnsi="Times New Roman"/>
          <w:sz w:val="24"/>
        </w:rPr>
      </w:pPr>
      <w:r w:rsidRPr="00210AEE">
        <w:rPr>
          <w:rFonts w:ascii="Times New Roman" w:hAnsi="Times New Roman"/>
          <w:sz w:val="24"/>
        </w:rPr>
        <w:t xml:space="preserve">Co do badanego układu OE – posiada on całkiem niezłe parametry. Potwierdziły się wady konfiguracji OE – mała impedancja wejściowa (tylko 125 </w:t>
      </w:r>
      <w:r>
        <w:rPr>
          <w:rFonts w:ascii="Times New Roman" w:hAnsi="Times New Roman"/>
          <w:sz w:val="24"/>
        </w:rPr>
        <w:t>Ω</w:t>
      </w:r>
      <w:r w:rsidRPr="00210AEE">
        <w:rPr>
          <w:rFonts w:ascii="Times New Roman" w:hAnsi="Times New Roman"/>
          <w:sz w:val="24"/>
        </w:rPr>
        <w:t xml:space="preserve">) i duża impedancja wyjściowa (aż ponad 2,4 </w:t>
      </w:r>
      <w:proofErr w:type="spellStart"/>
      <w:r w:rsidRPr="00210AEE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Ω</w:t>
      </w:r>
      <w:proofErr w:type="spellEnd"/>
      <w:r w:rsidRPr="00210AEE">
        <w:rPr>
          <w:rFonts w:ascii="Times New Roman" w:hAnsi="Times New Roman"/>
          <w:sz w:val="24"/>
        </w:rPr>
        <w:t xml:space="preserve">). </w:t>
      </w:r>
    </w:p>
    <w:p w:rsidR="00210AEE" w:rsidRDefault="00210AEE" w:rsidP="00210AEE">
      <w:pPr>
        <w:pStyle w:val="Tekstsprawozdania"/>
      </w:pPr>
    </w:p>
    <w:p w:rsidR="00210AEE" w:rsidRDefault="00210AEE" w:rsidP="00210AEE">
      <w:pPr>
        <w:pStyle w:val="Tekstsprawozdania"/>
        <w:ind w:left="360"/>
      </w:pPr>
    </w:p>
    <w:p w:rsidR="00210AEE" w:rsidRPr="00210AEE" w:rsidRDefault="00210AEE" w:rsidP="00210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0AEE" w:rsidRPr="00210AEE" w:rsidSect="006A0C7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56DEB"/>
    <w:multiLevelType w:val="hybridMultilevel"/>
    <w:tmpl w:val="D3CE3032"/>
    <w:lvl w:ilvl="0" w:tplc="2B8E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95BA9"/>
    <w:rsid w:val="00174274"/>
    <w:rsid w:val="00183404"/>
    <w:rsid w:val="001D18A8"/>
    <w:rsid w:val="00210AEE"/>
    <w:rsid w:val="00236137"/>
    <w:rsid w:val="00282A96"/>
    <w:rsid w:val="002934B3"/>
    <w:rsid w:val="002B740E"/>
    <w:rsid w:val="002F02D5"/>
    <w:rsid w:val="0033141D"/>
    <w:rsid w:val="003722F8"/>
    <w:rsid w:val="003C7B76"/>
    <w:rsid w:val="004405D2"/>
    <w:rsid w:val="00480359"/>
    <w:rsid w:val="004D2DB5"/>
    <w:rsid w:val="0051450A"/>
    <w:rsid w:val="00655105"/>
    <w:rsid w:val="00687772"/>
    <w:rsid w:val="006A0C74"/>
    <w:rsid w:val="007B209D"/>
    <w:rsid w:val="008506C2"/>
    <w:rsid w:val="009001F7"/>
    <w:rsid w:val="00946722"/>
    <w:rsid w:val="00955B75"/>
    <w:rsid w:val="009915B8"/>
    <w:rsid w:val="009F74A4"/>
    <w:rsid w:val="00A37955"/>
    <w:rsid w:val="00A645CE"/>
    <w:rsid w:val="00AC3E7B"/>
    <w:rsid w:val="00AE2C29"/>
    <w:rsid w:val="00B950D1"/>
    <w:rsid w:val="00B95E51"/>
    <w:rsid w:val="00BA3552"/>
    <w:rsid w:val="00BE0E7F"/>
    <w:rsid w:val="00BE2FEF"/>
    <w:rsid w:val="00C024CC"/>
    <w:rsid w:val="00C34957"/>
    <w:rsid w:val="00C37D46"/>
    <w:rsid w:val="00CB4AC0"/>
    <w:rsid w:val="00CE5316"/>
    <w:rsid w:val="00D05848"/>
    <w:rsid w:val="00D1442C"/>
    <w:rsid w:val="00D95BA9"/>
    <w:rsid w:val="00E30F05"/>
    <w:rsid w:val="00E811B4"/>
    <w:rsid w:val="00EE4AF8"/>
    <w:rsid w:val="00F37C8B"/>
    <w:rsid w:val="00F651C8"/>
    <w:rsid w:val="00F67042"/>
    <w:rsid w:val="00F7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15B8"/>
    <w:pPr>
      <w:ind w:left="720"/>
      <w:contextualSpacing/>
    </w:pPr>
  </w:style>
  <w:style w:type="character" w:customStyle="1" w:styleId="spelle">
    <w:name w:val="spelle"/>
    <w:basedOn w:val="Domylnaczcionkaakapitu"/>
    <w:rsid w:val="006A0C74"/>
  </w:style>
  <w:style w:type="character" w:customStyle="1" w:styleId="grame">
    <w:name w:val="grame"/>
    <w:basedOn w:val="Domylnaczcionkaakapitu"/>
    <w:rsid w:val="006A0C74"/>
  </w:style>
  <w:style w:type="paragraph" w:styleId="Tekstdymka">
    <w:name w:val="Balloon Text"/>
    <w:basedOn w:val="Normalny"/>
    <w:link w:val="TekstdymkaZnak"/>
    <w:uiPriority w:val="99"/>
    <w:semiHidden/>
    <w:unhideWhenUsed/>
    <w:rsid w:val="006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C7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A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A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AC0"/>
    <w:rPr>
      <w:b/>
      <w:bCs/>
    </w:rPr>
  </w:style>
  <w:style w:type="paragraph" w:customStyle="1" w:styleId="Tekstsprawozdania">
    <w:name w:val="Tekst sprawozdania"/>
    <w:basedOn w:val="Tekstpodstawowy"/>
    <w:rsid w:val="002934B3"/>
    <w:pPr>
      <w:spacing w:after="0" w:line="240" w:lineRule="auto"/>
    </w:pPr>
    <w:rPr>
      <w:rFonts w:ascii="Arial" w:eastAsia="Times New Roman" w:hAnsi="Arial" w:cs="Times New Roman"/>
      <w:position w:val="6"/>
      <w:szCs w:val="20"/>
      <w:lang w:eastAsia="pl-PL"/>
    </w:rPr>
  </w:style>
  <w:style w:type="paragraph" w:customStyle="1" w:styleId="Tytunagweksprawozdania">
    <w:name w:val="Tytuł nagłówek sprawozdania"/>
    <w:basedOn w:val="Tekstpodstawowy"/>
    <w:rsid w:val="002934B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3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3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4.wm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oleObject" Target="embeddings/oleObject2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sp2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KOLEGIUM\Przyrz&#261;dy%20P&#243;&#322;przewodnikowe%20II\tranzystor%20bipolarn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tranzystor%20bipolarn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wejściowej</a:t>
            </a:r>
          </a:p>
        </c:rich>
      </c:tx>
      <c:layout>
        <c:manualLayout>
          <c:xMode val="edge"/>
          <c:yMode val="edge"/>
          <c:x val="0.23412418922963438"/>
          <c:y val="5.3327288005877167E-2"/>
        </c:manualLayout>
      </c:layout>
      <c:overlay val="1"/>
      <c:spPr>
        <a:solidFill>
          <a:schemeClr val="bg1"/>
        </a:solidFill>
      </c:spPr>
    </c:title>
    <c:plotArea>
      <c:layout>
        <c:manualLayout>
          <c:layoutTarget val="inner"/>
          <c:xMode val="edge"/>
          <c:yMode val="edge"/>
          <c:x val="7.9378204541292907E-2"/>
          <c:y val="3.5079051137565202E-2"/>
          <c:w val="0.88788365480477782"/>
          <c:h val="0.8242960801392244"/>
        </c:manualLayout>
      </c:layout>
      <c:scatterChart>
        <c:scatterStyle val="smoothMarker"/>
        <c:ser>
          <c:idx val="0"/>
          <c:order val="0"/>
          <c:tx>
            <c:v>Uce=10V</c:v>
          </c:tx>
          <c:marker>
            <c:symbol val="none"/>
          </c:marker>
          <c:xVal>
            <c:numRef>
              <c:f>wejściowa!$C$2:$L$2</c:f>
              <c:numCache>
                <c:formatCode>General</c:formatCode>
                <c:ptCount val="10"/>
                <c:pt idx="0">
                  <c:v>0.6400000000000009</c:v>
                </c:pt>
                <c:pt idx="1">
                  <c:v>0.65600000000000103</c:v>
                </c:pt>
                <c:pt idx="2">
                  <c:v>0.66800000000000104</c:v>
                </c:pt>
                <c:pt idx="3">
                  <c:v>0.67700000000000105</c:v>
                </c:pt>
                <c:pt idx="4">
                  <c:v>0.68500000000000072</c:v>
                </c:pt>
                <c:pt idx="5">
                  <c:v>0.69400000000000073</c:v>
                </c:pt>
                <c:pt idx="6">
                  <c:v>0.70200000000000062</c:v>
                </c:pt>
                <c:pt idx="7">
                  <c:v>0.70600000000000063</c:v>
                </c:pt>
                <c:pt idx="8">
                  <c:v>0.70900000000000063</c:v>
                </c:pt>
                <c:pt idx="9">
                  <c:v>0.71100000000000063</c:v>
                </c:pt>
              </c:numCache>
            </c:numRef>
          </c:xVal>
          <c:yVal>
            <c:numRef>
              <c:f>wejściowa!$C$1:$L$1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yVal>
          <c:smooth val="1"/>
        </c:ser>
        <c:ser>
          <c:idx val="1"/>
          <c:order val="1"/>
          <c:tx>
            <c:v>Uce=15V</c:v>
          </c:tx>
          <c:marker>
            <c:symbol val="none"/>
          </c:marker>
          <c:xVal>
            <c:numRef>
              <c:f>wejściowa!$C$3:$L$3</c:f>
              <c:numCache>
                <c:formatCode>General</c:formatCode>
                <c:ptCount val="10"/>
                <c:pt idx="0">
                  <c:v>0.63100000000000089</c:v>
                </c:pt>
                <c:pt idx="1">
                  <c:v>0.64800000000000091</c:v>
                </c:pt>
                <c:pt idx="2">
                  <c:v>0.65700000000000103</c:v>
                </c:pt>
                <c:pt idx="3">
                  <c:v>0.66500000000000103</c:v>
                </c:pt>
                <c:pt idx="4">
                  <c:v>0.67300000000000104</c:v>
                </c:pt>
                <c:pt idx="5">
                  <c:v>0.68100000000000072</c:v>
                </c:pt>
                <c:pt idx="6">
                  <c:v>0.68900000000000072</c:v>
                </c:pt>
                <c:pt idx="7">
                  <c:v>0.69800000000000073</c:v>
                </c:pt>
                <c:pt idx="8">
                  <c:v>0.70500000000000063</c:v>
                </c:pt>
                <c:pt idx="9">
                  <c:v>0.71400000000000063</c:v>
                </c:pt>
              </c:numCache>
            </c:numRef>
          </c:xVal>
          <c:yVal>
            <c:numRef>
              <c:f>wejściowa!$C$1:$L$1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yVal>
          <c:smooth val="1"/>
        </c:ser>
        <c:ser>
          <c:idx val="2"/>
          <c:order val="2"/>
          <c:tx>
            <c:v>Uce=20V</c:v>
          </c:tx>
          <c:marker>
            <c:symbol val="none"/>
          </c:marker>
          <c:xVal>
            <c:numRef>
              <c:f>wejściowa!$C$4:$L$4</c:f>
              <c:numCache>
                <c:formatCode>General</c:formatCode>
                <c:ptCount val="10"/>
                <c:pt idx="0">
                  <c:v>0.63100000000000089</c:v>
                </c:pt>
                <c:pt idx="1">
                  <c:v>0.64900000000000091</c:v>
                </c:pt>
                <c:pt idx="2">
                  <c:v>0.65000000000000102</c:v>
                </c:pt>
                <c:pt idx="3">
                  <c:v>0.65500000000000103</c:v>
                </c:pt>
                <c:pt idx="4">
                  <c:v>0.66000000000000103</c:v>
                </c:pt>
                <c:pt idx="5">
                  <c:v>0.66400000000000103</c:v>
                </c:pt>
                <c:pt idx="6">
                  <c:v>0.67000000000000104</c:v>
                </c:pt>
                <c:pt idx="7">
                  <c:v>0.67700000000000105</c:v>
                </c:pt>
                <c:pt idx="8">
                  <c:v>0.68400000000000072</c:v>
                </c:pt>
                <c:pt idx="9">
                  <c:v>0.69000000000000072</c:v>
                </c:pt>
              </c:numCache>
            </c:numRef>
          </c:xVal>
          <c:yVal>
            <c:numRef>
              <c:f>wejściowa!$C$1:$L$1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yVal>
          <c:smooth val="1"/>
        </c:ser>
        <c:axId val="173488000"/>
        <c:axId val="173506560"/>
      </c:scatterChart>
      <c:valAx>
        <c:axId val="173488000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U</a:t>
                </a:r>
                <a:r>
                  <a:rPr lang="pl-PL" sz="700">
                    <a:latin typeface="Times New Roman" pitchFamily="18" charset="0"/>
                    <a:cs typeface="Times New Roman" pitchFamily="18" charset="0"/>
                  </a:rPr>
                  <a:t>B</a:t>
                </a: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 [V]</a:t>
                </a:r>
                <a:endParaRPr lang="pl-PL">
                  <a:latin typeface="Times New Roman" pitchFamily="18" charset="0"/>
                  <a:cs typeface="Times New Roman" pitchFamily="18" charset="0"/>
                </a:endParaRPr>
              </a:p>
            </c:rich>
          </c:tx>
        </c:title>
        <c:numFmt formatCode="General" sourceLinked="1"/>
        <c:tickLblPos val="nextTo"/>
        <c:crossAx val="173506560"/>
        <c:crosses val="autoZero"/>
        <c:crossBetween val="midCat"/>
      </c:valAx>
      <c:valAx>
        <c:axId val="173506560"/>
        <c:scaling>
          <c:orientation val="minMax"/>
          <c:max val="31"/>
          <c:min val="3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>
                    <a:latin typeface="Times New Roman" pitchFamily="18" charset="0"/>
                    <a:cs typeface="Times New Roman" pitchFamily="18" charset="0"/>
                  </a:rPr>
                  <a:t>I</a:t>
                </a:r>
                <a:r>
                  <a:rPr lang="pl-PL" sz="800">
                    <a:latin typeface="Times New Roman" pitchFamily="18" charset="0"/>
                    <a:cs typeface="Times New Roman" pitchFamily="18" charset="0"/>
                  </a:rPr>
                  <a:t>B</a:t>
                </a:r>
                <a:r>
                  <a:rPr lang="pl-PL" sz="1200">
                    <a:latin typeface="Times New Roman" pitchFamily="18" charset="0"/>
                    <a:cs typeface="Times New Roman" pitchFamily="18" charset="0"/>
                  </a:rPr>
                  <a:t> [µA]</a:t>
                </a:r>
                <a:endParaRPr lang="pl-PL">
                  <a:latin typeface="Times New Roman" pitchFamily="18" charset="0"/>
                  <a:cs typeface="Times New Roman" pitchFamily="18" charset="0"/>
                </a:endParaRPr>
              </a:p>
            </c:rich>
          </c:tx>
        </c:title>
        <c:numFmt formatCode="General" sourceLinked="1"/>
        <c:tickLblPos val="nextTo"/>
        <c:crossAx val="173488000"/>
        <c:crosses val="autoZero"/>
        <c:crossBetween val="midCat"/>
        <c:majorUnit val="3"/>
      </c:valAx>
    </c:plotArea>
    <c:legend>
      <c:legendPos val="r"/>
      <c:layout>
        <c:manualLayout>
          <c:xMode val="edge"/>
          <c:yMode val="edge"/>
          <c:x val="0.80502964413712264"/>
          <c:y val="0.55014485217649911"/>
          <c:w val="0.14436198947353801"/>
          <c:h val="0.24807448534213564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wyjściowej</a:t>
            </a:r>
          </a:p>
        </c:rich>
      </c:tx>
      <c:layout>
        <c:manualLayout>
          <c:xMode val="edge"/>
          <c:yMode val="edge"/>
          <c:x val="0.23887959690205668"/>
          <c:y val="5.3872206096103506E-2"/>
        </c:manualLayout>
      </c:layout>
      <c:overlay val="1"/>
      <c:spPr>
        <a:solidFill>
          <a:sysClr val="window" lastClr="FFFFFF"/>
        </a:solidFill>
      </c:spPr>
    </c:title>
    <c:plotArea>
      <c:layout>
        <c:manualLayout>
          <c:layoutTarget val="inner"/>
          <c:xMode val="edge"/>
          <c:yMode val="edge"/>
          <c:x val="6.5624116985376832E-2"/>
          <c:y val="3.7986585010207061E-2"/>
          <c:w val="0.90881775778027751"/>
          <c:h val="0.84946208192447159"/>
        </c:manualLayout>
      </c:layout>
      <c:scatterChart>
        <c:scatterStyle val="smoothMarker"/>
        <c:ser>
          <c:idx val="0"/>
          <c:order val="0"/>
          <c:tx>
            <c:v>7,5</c:v>
          </c:tx>
          <c:marker>
            <c:symbol val="none"/>
          </c:marker>
          <c:xVal>
            <c:numRef>
              <c:f>wyjściowe!$C$1:$H$1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</c:numCache>
            </c:numRef>
          </c:xVal>
          <c:yVal>
            <c:numRef>
              <c:f>wyjściowe!$C$2:$H$2</c:f>
              <c:numCache>
                <c:formatCode>General</c:formatCode>
                <c:ptCount val="6"/>
                <c:pt idx="0">
                  <c:v>0</c:v>
                </c:pt>
                <c:pt idx="1">
                  <c:v>1.8</c:v>
                </c:pt>
                <c:pt idx="2">
                  <c:v>3.6</c:v>
                </c:pt>
                <c:pt idx="3">
                  <c:v>3.9</c:v>
                </c:pt>
                <c:pt idx="4">
                  <c:v>4.0999999999999996</c:v>
                </c:pt>
                <c:pt idx="5">
                  <c:v>4.2</c:v>
                </c:pt>
              </c:numCache>
            </c:numRef>
          </c:yVal>
          <c:smooth val="1"/>
        </c:ser>
        <c:ser>
          <c:idx val="1"/>
          <c:order val="1"/>
          <c:tx>
            <c:v>15</c:v>
          </c:tx>
          <c:marker>
            <c:symbol val="none"/>
          </c:marker>
          <c:xVal>
            <c:numRef>
              <c:f>wyjściowe!$C$1:$H$1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</c:numCache>
            </c:numRef>
          </c:xVal>
          <c:yVal>
            <c:numRef>
              <c:f>wyjściowe!$C$3:$H$3</c:f>
              <c:numCache>
                <c:formatCode>General</c:formatCode>
                <c:ptCount val="6"/>
                <c:pt idx="0">
                  <c:v>0</c:v>
                </c:pt>
                <c:pt idx="1">
                  <c:v>1.9000000000000001</c:v>
                </c:pt>
                <c:pt idx="2">
                  <c:v>3.8</c:v>
                </c:pt>
                <c:pt idx="3">
                  <c:v>7.5</c:v>
                </c:pt>
                <c:pt idx="4">
                  <c:v>8</c:v>
                </c:pt>
                <c:pt idx="5">
                  <c:v>8.5</c:v>
                </c:pt>
              </c:numCache>
            </c:numRef>
          </c:yVal>
          <c:smooth val="1"/>
        </c:ser>
        <c:ser>
          <c:idx val="2"/>
          <c:order val="2"/>
          <c:tx>
            <c:v>22,5</c:v>
          </c:tx>
          <c:marker>
            <c:symbol val="none"/>
          </c:marker>
          <c:xVal>
            <c:numRef>
              <c:f>wyjściowe!$C$1:$H$1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</c:numCache>
            </c:numRef>
          </c:xVal>
          <c:yVal>
            <c:numRef>
              <c:f>wyjściowe!$C$4:$H$4</c:f>
              <c:numCache>
                <c:formatCode>General</c:formatCode>
                <c:ptCount val="6"/>
                <c:pt idx="0">
                  <c:v>0</c:v>
                </c:pt>
                <c:pt idx="1">
                  <c:v>1.9000000000000001</c:v>
                </c:pt>
                <c:pt idx="2">
                  <c:v>3.9</c:v>
                </c:pt>
                <c:pt idx="3">
                  <c:v>9.7000000000000011</c:v>
                </c:pt>
                <c:pt idx="4">
                  <c:v>11.3</c:v>
                </c:pt>
                <c:pt idx="5">
                  <c:v>12.3</c:v>
                </c:pt>
              </c:numCache>
            </c:numRef>
          </c:yVal>
          <c:smooth val="1"/>
        </c:ser>
        <c:ser>
          <c:idx val="3"/>
          <c:order val="3"/>
          <c:tx>
            <c:v>30</c:v>
          </c:tx>
          <c:marker>
            <c:symbol val="none"/>
          </c:marker>
          <c:xVal>
            <c:numRef>
              <c:f>wyjściowe!$C$1:$H$1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</c:numCache>
            </c:numRef>
          </c:xVal>
          <c:yVal>
            <c:numRef>
              <c:f>wyjściowe!$C$5:$H$5</c:f>
              <c:numCache>
                <c:formatCode>General</c:formatCode>
                <c:ptCount val="6"/>
                <c:pt idx="0">
                  <c:v>0</c:v>
                </c:pt>
                <c:pt idx="1">
                  <c:v>1.9000000000000001</c:v>
                </c:pt>
                <c:pt idx="2">
                  <c:v>3.9</c:v>
                </c:pt>
                <c:pt idx="3">
                  <c:v>9.8000000000000007</c:v>
                </c:pt>
                <c:pt idx="4">
                  <c:v>14.2</c:v>
                </c:pt>
                <c:pt idx="5">
                  <c:v>15.5</c:v>
                </c:pt>
              </c:numCache>
            </c:numRef>
          </c:yVal>
          <c:smooth val="1"/>
        </c:ser>
        <c:axId val="173533440"/>
        <c:axId val="173535616"/>
      </c:scatterChart>
      <c:valAx>
        <c:axId val="173533440"/>
        <c:scaling>
          <c:orientation val="minMax"/>
          <c:max val="21"/>
          <c:min val="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U</a:t>
                </a:r>
                <a:r>
                  <a:rPr lang="pl-PL" sz="800"/>
                  <a:t>CE</a:t>
                </a:r>
                <a:r>
                  <a:rPr lang="pl-PL" sz="1100"/>
                  <a:t> [V]</a:t>
                </a:r>
              </a:p>
            </c:rich>
          </c:tx>
          <c:layout>
            <c:manualLayout>
              <c:xMode val="edge"/>
              <c:yMode val="edge"/>
              <c:x val="0.50499339506996588"/>
              <c:y val="0.93082985408595653"/>
            </c:manualLayout>
          </c:layout>
        </c:title>
        <c:numFmt formatCode="General" sourceLinked="1"/>
        <c:tickLblPos val="nextTo"/>
        <c:crossAx val="173535616"/>
        <c:crosses val="autoZero"/>
        <c:crossBetween val="midCat"/>
        <c:majorUnit val="2"/>
      </c:valAx>
      <c:valAx>
        <c:axId val="173535616"/>
        <c:scaling>
          <c:orientation val="minMax"/>
          <c:max val="16"/>
        </c:scaling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200"/>
                  <a:t>Ic [mA]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9.1428571428571435E-3"/>
              <c:y val="0.41679005275855663"/>
            </c:manualLayout>
          </c:layout>
        </c:title>
        <c:numFmt formatCode="General" sourceLinked="1"/>
        <c:tickLblPos val="nextTo"/>
        <c:crossAx val="17353344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9.9116428419611366E-2"/>
          <c:y val="0.43213470948422761"/>
          <c:w val="0.11299574046888225"/>
          <c:h val="0.2288895410248552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przejściowej</a:t>
            </a:r>
          </a:p>
        </c:rich>
      </c:tx>
      <c:layout>
        <c:manualLayout>
          <c:xMode val="edge"/>
          <c:yMode val="edge"/>
          <c:x val="0.24685855240317184"/>
          <c:y val="5.0917416237933749E-2"/>
        </c:manualLayout>
      </c:layout>
      <c:overlay val="1"/>
      <c:spPr>
        <a:solidFill>
          <a:sysClr val="window" lastClr="FFFFFF"/>
        </a:solidFill>
      </c:spPr>
    </c:title>
    <c:plotArea>
      <c:layout>
        <c:manualLayout>
          <c:layoutTarget val="inner"/>
          <c:xMode val="edge"/>
          <c:yMode val="edge"/>
          <c:x val="6.1479423088143192E-2"/>
          <c:y val="3.8752250209561502E-2"/>
          <c:w val="0.90029660260930922"/>
          <c:h val="0.84716081955724121"/>
        </c:manualLayout>
      </c:layout>
      <c:scatterChart>
        <c:scatterStyle val="smoothMarker"/>
        <c:ser>
          <c:idx val="0"/>
          <c:order val="0"/>
          <c:tx>
            <c:v>Uce=10V</c:v>
          </c:tx>
          <c:marker>
            <c:symbol val="none"/>
          </c:marker>
          <c:xVal>
            <c:numRef>
              <c:f>przejściowe!$C$1:$L$1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xVal>
          <c:yVal>
            <c:numRef>
              <c:f>przejściowe!$C$2:$L$2</c:f>
              <c:numCache>
                <c:formatCode>General</c:formatCode>
                <c:ptCount val="10"/>
                <c:pt idx="0">
                  <c:v>1.6</c:v>
                </c:pt>
                <c:pt idx="1">
                  <c:v>3.1</c:v>
                </c:pt>
                <c:pt idx="2">
                  <c:v>4.5999999999999996</c:v>
                </c:pt>
                <c:pt idx="3">
                  <c:v>6</c:v>
                </c:pt>
                <c:pt idx="4">
                  <c:v>7.5</c:v>
                </c:pt>
                <c:pt idx="5">
                  <c:v>8.8000000000000007</c:v>
                </c:pt>
                <c:pt idx="6">
                  <c:v>9.8000000000000007</c:v>
                </c:pt>
                <c:pt idx="7">
                  <c:v>9.8000000000000007</c:v>
                </c:pt>
                <c:pt idx="8">
                  <c:v>9.9</c:v>
                </c:pt>
                <c:pt idx="9">
                  <c:v>10</c:v>
                </c:pt>
              </c:numCache>
            </c:numRef>
          </c:yVal>
          <c:smooth val="1"/>
        </c:ser>
        <c:ser>
          <c:idx val="1"/>
          <c:order val="1"/>
          <c:tx>
            <c:v>Uce=15V</c:v>
          </c:tx>
          <c:marker>
            <c:symbol val="none"/>
          </c:marker>
          <c:xVal>
            <c:numRef>
              <c:f>przejściowe!$C$1:$L$1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xVal>
          <c:yVal>
            <c:numRef>
              <c:f>przejściowe!$C$3:$L$3</c:f>
              <c:numCache>
                <c:formatCode>General</c:formatCode>
                <c:ptCount val="10"/>
                <c:pt idx="0">
                  <c:v>1.6</c:v>
                </c:pt>
                <c:pt idx="1">
                  <c:v>3.3</c:v>
                </c:pt>
                <c:pt idx="2">
                  <c:v>4.9000000000000004</c:v>
                </c:pt>
                <c:pt idx="3">
                  <c:v>6.4</c:v>
                </c:pt>
                <c:pt idx="4">
                  <c:v>8</c:v>
                </c:pt>
                <c:pt idx="5">
                  <c:v>9.4</c:v>
                </c:pt>
                <c:pt idx="6">
                  <c:v>10.8</c:v>
                </c:pt>
                <c:pt idx="7">
                  <c:v>12</c:v>
                </c:pt>
                <c:pt idx="8">
                  <c:v>13.1</c:v>
                </c:pt>
                <c:pt idx="9">
                  <c:v>14.1</c:v>
                </c:pt>
              </c:numCache>
            </c:numRef>
          </c:yVal>
          <c:smooth val="1"/>
        </c:ser>
        <c:ser>
          <c:idx val="2"/>
          <c:order val="2"/>
          <c:tx>
            <c:v>Uce=20V</c:v>
          </c:tx>
          <c:marker>
            <c:symbol val="none"/>
          </c:marker>
          <c:xVal>
            <c:numRef>
              <c:f>przejściowe!$C$1:$L$1</c:f>
              <c:numCache>
                <c:formatCode>General</c:formatCode>
                <c:ptCount val="10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  <c:pt idx="4">
                  <c:v>15</c:v>
                </c:pt>
                <c:pt idx="5">
                  <c:v>18</c:v>
                </c:pt>
                <c:pt idx="6">
                  <c:v>21</c:v>
                </c:pt>
                <c:pt idx="7">
                  <c:v>24</c:v>
                </c:pt>
                <c:pt idx="8">
                  <c:v>27</c:v>
                </c:pt>
                <c:pt idx="9">
                  <c:v>30</c:v>
                </c:pt>
              </c:numCache>
            </c:numRef>
          </c:xVal>
          <c:yVal>
            <c:numRef>
              <c:f>przejściowe!$C$4:$L$4</c:f>
              <c:numCache>
                <c:formatCode>General</c:formatCode>
                <c:ptCount val="10"/>
                <c:pt idx="0">
                  <c:v>1.7</c:v>
                </c:pt>
                <c:pt idx="1">
                  <c:v>3.5</c:v>
                </c:pt>
                <c:pt idx="2">
                  <c:v>5.2</c:v>
                </c:pt>
                <c:pt idx="3">
                  <c:v>6.9</c:v>
                </c:pt>
                <c:pt idx="4">
                  <c:v>8.5</c:v>
                </c:pt>
                <c:pt idx="5">
                  <c:v>10</c:v>
                </c:pt>
                <c:pt idx="6">
                  <c:v>11.5</c:v>
                </c:pt>
                <c:pt idx="7">
                  <c:v>12.9</c:v>
                </c:pt>
                <c:pt idx="8">
                  <c:v>14.1</c:v>
                </c:pt>
                <c:pt idx="9">
                  <c:v>15.4</c:v>
                </c:pt>
              </c:numCache>
            </c:numRef>
          </c:yVal>
          <c:smooth val="1"/>
        </c:ser>
        <c:axId val="138655616"/>
        <c:axId val="138665984"/>
      </c:scatterChart>
      <c:valAx>
        <c:axId val="138655616"/>
        <c:scaling>
          <c:orientation val="minMax"/>
          <c:max val="31"/>
          <c:min val="3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</a:t>
                </a:r>
                <a:r>
                  <a:rPr lang="pl-PL" sz="1000"/>
                  <a:t>B</a:t>
                </a:r>
                <a:r>
                  <a:rPr lang="pl-PL" sz="1200"/>
                  <a:t> [</a:t>
                </a:r>
                <a:r>
                  <a:rPr lang="pl-PL" sz="1200">
                    <a:latin typeface="Calibri"/>
                  </a:rPr>
                  <a:t>µA]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0.45695844623152121"/>
              <c:y val="0.9222275152670415"/>
            </c:manualLayout>
          </c:layout>
        </c:title>
        <c:numFmt formatCode="General" sourceLinked="1"/>
        <c:tickLblPos val="nextTo"/>
        <c:crossAx val="138665984"/>
        <c:crosses val="autoZero"/>
        <c:crossBetween val="midCat"/>
        <c:majorUnit val="3"/>
      </c:valAx>
      <c:valAx>
        <c:axId val="138665984"/>
        <c:scaling>
          <c:orientation val="minMax"/>
          <c:max val="16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Ic [mA]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3.1225604996096799E-3"/>
              <c:y val="0.36851932775418822"/>
            </c:manualLayout>
          </c:layout>
        </c:title>
        <c:numFmt formatCode="General" sourceLinked="1"/>
        <c:tickLblPos val="nextTo"/>
        <c:crossAx val="13865561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5465266767622752"/>
          <c:y val="0.55981859621280905"/>
          <c:w val="0.1349738150096898"/>
          <c:h val="0.2554454270694948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0.10128</cdr:x>
      <cdr:y>0.36181</cdr:y>
    </cdr:from>
    <cdr:to>
      <cdr:x>0.21356</cdr:x>
      <cdr:y>0.44244</cdr:y>
    </cdr:to>
    <cdr:sp macro="" textlink="">
      <cdr:nvSpPr>
        <cdr:cNvPr id="3" name="pole tekstowe 2"/>
        <cdr:cNvSpPr txBox="1"/>
      </cdr:nvSpPr>
      <cdr:spPr>
        <a:xfrm xmlns:a="http://schemas.openxmlformats.org/drawingml/2006/main">
          <a:off x="655670" y="1172505"/>
          <a:ext cx="726903" cy="261274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200" b="1"/>
            <a:t>I</a:t>
          </a:r>
          <a:r>
            <a:rPr lang="pl-PL" sz="1000" b="1"/>
            <a:t>B</a:t>
          </a:r>
          <a:r>
            <a:rPr lang="pl-PL" sz="1200" b="1"/>
            <a:t> [µA]</a:t>
          </a:r>
          <a:endParaRPr lang="pl-PL" sz="1100" b="1"/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41</cp:revision>
  <dcterms:created xsi:type="dcterms:W3CDTF">2007-10-17T16:35:00Z</dcterms:created>
  <dcterms:modified xsi:type="dcterms:W3CDTF">2010-02-17T21:00:00Z</dcterms:modified>
</cp:coreProperties>
</file>