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0BA" w:rsidRDefault="005310BA" w:rsidP="005310BA"/>
    <w:tbl>
      <w:tblPr>
        <w:tblW w:w="97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1567"/>
        <w:gridCol w:w="1701"/>
        <w:gridCol w:w="1559"/>
        <w:gridCol w:w="3030"/>
        <w:gridCol w:w="1910"/>
      </w:tblGrid>
      <w:tr w:rsidR="005310BA" w:rsidTr="00F87F3F">
        <w:trPr>
          <w:cantSplit/>
          <w:trHeight w:val="558"/>
        </w:trPr>
        <w:tc>
          <w:tcPr>
            <w:tcW w:w="9767" w:type="dxa"/>
            <w:gridSpan w:val="5"/>
          </w:tcPr>
          <w:p w:rsidR="005310BA" w:rsidRPr="000E261B" w:rsidRDefault="005310BA" w:rsidP="004F618A">
            <w:pPr>
              <w:pStyle w:val="Nagwek1"/>
              <w:rPr>
                <w:rFonts w:ascii="Times New Roman" w:hAnsi="Times New Roman" w:cs="Times New Roman"/>
              </w:rPr>
            </w:pPr>
            <w:r w:rsidRPr="000E261B">
              <w:rPr>
                <w:rFonts w:ascii="Times New Roman" w:hAnsi="Times New Roman" w:cs="Times New Roman"/>
              </w:rPr>
              <w:t>SPRAWOZDANIE Z ĆWICZENIA LABORATORYJNEGO Z</w:t>
            </w:r>
            <w:r w:rsidR="004F618A">
              <w:rPr>
                <w:rFonts w:ascii="Times New Roman" w:hAnsi="Times New Roman" w:cs="Times New Roman"/>
              </w:rPr>
              <w:t xml:space="preserve"> PRZYRZĄDÓW PÓŁPRZEWODNIKOWYCH </w:t>
            </w:r>
            <w:r w:rsidRPr="000E261B">
              <w:rPr>
                <w:rFonts w:ascii="Times New Roman" w:hAnsi="Times New Roman" w:cs="Times New Roman"/>
              </w:rPr>
              <w:t xml:space="preserve"> NR </w:t>
            </w:r>
            <w:r w:rsidR="004F618A">
              <w:rPr>
                <w:rFonts w:ascii="Times New Roman" w:hAnsi="Times New Roman" w:cs="Times New Roman"/>
              </w:rPr>
              <w:t>3</w:t>
            </w:r>
          </w:p>
        </w:tc>
      </w:tr>
      <w:tr w:rsidR="005310BA" w:rsidTr="00F87F3F">
        <w:trPr>
          <w:cantSplit/>
          <w:trHeight w:val="1576"/>
        </w:trPr>
        <w:tc>
          <w:tcPr>
            <w:tcW w:w="4827" w:type="dxa"/>
            <w:gridSpan w:val="3"/>
          </w:tcPr>
          <w:p w:rsidR="005310BA" w:rsidRPr="000E261B" w:rsidRDefault="005310BA" w:rsidP="00F87F3F">
            <w:pPr>
              <w:pStyle w:val="Nagwek2"/>
              <w:jc w:val="center"/>
              <w:rPr>
                <w:sz w:val="24"/>
              </w:rPr>
            </w:pPr>
            <w:r w:rsidRPr="000E261B">
              <w:rPr>
                <w:sz w:val="24"/>
              </w:rPr>
              <w:t>KOLEGIUM KARKONOSKIE</w:t>
            </w:r>
          </w:p>
          <w:p w:rsidR="005310BA" w:rsidRPr="000E261B" w:rsidRDefault="005310BA" w:rsidP="00F87F3F">
            <w:pPr>
              <w:pStyle w:val="Nagwek2"/>
              <w:jc w:val="center"/>
              <w:rPr>
                <w:b w:val="0"/>
                <w:sz w:val="28"/>
              </w:rPr>
            </w:pPr>
            <w:r w:rsidRPr="000E261B">
              <w:rPr>
                <w:b w:val="0"/>
                <w:sz w:val="28"/>
              </w:rPr>
              <w:t>w Jeleniej Górze</w:t>
            </w:r>
          </w:p>
          <w:p w:rsidR="005310BA" w:rsidRPr="000E261B" w:rsidRDefault="005310BA" w:rsidP="00F87F3F">
            <w:pPr>
              <w:pStyle w:val="Nagwek3"/>
              <w:jc w:val="center"/>
              <w:rPr>
                <w:rFonts w:ascii="Times New Roman" w:hAnsi="Times New Roman" w:cs="Times New Roman"/>
                <w:bCs w:val="0"/>
              </w:rPr>
            </w:pPr>
            <w:r w:rsidRPr="000E261B">
              <w:rPr>
                <w:rFonts w:ascii="Times New Roman" w:hAnsi="Times New Roman" w:cs="Times New Roman"/>
                <w:bCs w:val="0"/>
                <w:sz w:val="22"/>
              </w:rPr>
              <w:t>INSTYTUT TECHNIKI</w:t>
            </w:r>
          </w:p>
        </w:tc>
        <w:tc>
          <w:tcPr>
            <w:tcW w:w="4940" w:type="dxa"/>
            <w:gridSpan w:val="2"/>
          </w:tcPr>
          <w:p w:rsidR="005310BA" w:rsidRPr="000E261B" w:rsidRDefault="005310BA" w:rsidP="00F87F3F">
            <w:r w:rsidRPr="000E261B">
              <w:t xml:space="preserve">Temat ćwiczenia: </w:t>
            </w:r>
          </w:p>
          <w:p w:rsidR="005310BA" w:rsidRPr="000E261B" w:rsidRDefault="005310BA" w:rsidP="00F87F3F"/>
          <w:p w:rsidR="005310BA" w:rsidRPr="000E261B" w:rsidRDefault="004F618A" w:rsidP="00F87F3F">
            <w:r>
              <w:t>Badanie charakterystyk statycznych tranzystora unipolarnego.</w:t>
            </w:r>
          </w:p>
          <w:p w:rsidR="005310BA" w:rsidRPr="000E261B" w:rsidRDefault="005310BA" w:rsidP="00F87F3F">
            <w:pPr>
              <w:jc w:val="both"/>
            </w:pPr>
          </w:p>
        </w:tc>
      </w:tr>
      <w:tr w:rsidR="005310BA" w:rsidTr="00F87F3F">
        <w:trPr>
          <w:cantSplit/>
          <w:trHeight w:val="918"/>
        </w:trPr>
        <w:tc>
          <w:tcPr>
            <w:tcW w:w="4827" w:type="dxa"/>
            <w:gridSpan w:val="3"/>
          </w:tcPr>
          <w:p w:rsidR="005310BA" w:rsidRPr="000E261B" w:rsidRDefault="005310BA" w:rsidP="00F87F3F">
            <w:r w:rsidRPr="000E261B">
              <w:t>Imię i nazwisko:</w:t>
            </w:r>
          </w:p>
          <w:p w:rsidR="005310BA" w:rsidRPr="005310BA" w:rsidRDefault="005310BA" w:rsidP="005310BA"/>
        </w:tc>
        <w:tc>
          <w:tcPr>
            <w:tcW w:w="3030" w:type="dxa"/>
          </w:tcPr>
          <w:p w:rsidR="005310BA" w:rsidRPr="000E261B" w:rsidRDefault="005310BA" w:rsidP="00F87F3F">
            <w:r w:rsidRPr="000E261B">
              <w:t>Data wykonania ćwiczenia:</w:t>
            </w:r>
          </w:p>
          <w:p w:rsidR="005310BA" w:rsidRPr="000E261B" w:rsidRDefault="005310BA" w:rsidP="00F87F3F"/>
          <w:p w:rsidR="005310BA" w:rsidRPr="000E261B" w:rsidRDefault="004F618A" w:rsidP="00F87F3F">
            <w:r>
              <w:t>09.10.07</w:t>
            </w:r>
          </w:p>
        </w:tc>
        <w:tc>
          <w:tcPr>
            <w:tcW w:w="1910" w:type="dxa"/>
          </w:tcPr>
          <w:p w:rsidR="005310BA" w:rsidRPr="000E261B" w:rsidRDefault="005310BA" w:rsidP="00F87F3F">
            <w:pPr>
              <w:rPr>
                <w:b/>
              </w:rPr>
            </w:pPr>
            <w:r w:rsidRPr="000E261B">
              <w:rPr>
                <w:b/>
              </w:rPr>
              <w:t>Ocena:</w:t>
            </w:r>
          </w:p>
        </w:tc>
      </w:tr>
      <w:tr w:rsidR="005310BA" w:rsidTr="00F87F3F">
        <w:trPr>
          <w:cantSplit/>
          <w:trHeight w:val="699"/>
        </w:trPr>
        <w:tc>
          <w:tcPr>
            <w:tcW w:w="1567" w:type="dxa"/>
          </w:tcPr>
          <w:p w:rsidR="005310BA" w:rsidRPr="000E261B" w:rsidRDefault="005310BA" w:rsidP="00F87F3F">
            <w:pPr>
              <w:rPr>
                <w:b/>
              </w:rPr>
            </w:pPr>
            <w:r w:rsidRPr="000E261B">
              <w:rPr>
                <w:b/>
              </w:rPr>
              <w:t>Specjalizacja:</w:t>
            </w:r>
          </w:p>
          <w:p w:rsidR="005310BA" w:rsidRPr="000E261B" w:rsidRDefault="005310BA" w:rsidP="00F87F3F">
            <w:pPr>
              <w:pStyle w:val="Nagwek5"/>
              <w:rPr>
                <w:rFonts w:ascii="Times New Roman" w:hAnsi="Times New Roman" w:cs="Times New Roman"/>
              </w:rPr>
            </w:pPr>
            <w:proofErr w:type="spellStart"/>
            <w:r w:rsidRPr="000E261B">
              <w:rPr>
                <w:rFonts w:ascii="Times New Roman" w:hAnsi="Times New Roman" w:cs="Times New Roman"/>
              </w:rPr>
              <w:t>EiT</w:t>
            </w:r>
            <w:proofErr w:type="spellEnd"/>
          </w:p>
        </w:tc>
        <w:tc>
          <w:tcPr>
            <w:tcW w:w="1701" w:type="dxa"/>
          </w:tcPr>
          <w:p w:rsidR="005310BA" w:rsidRPr="000E261B" w:rsidRDefault="005310BA" w:rsidP="00F87F3F">
            <w:pPr>
              <w:rPr>
                <w:b/>
              </w:rPr>
            </w:pPr>
            <w:r w:rsidRPr="000E261B">
              <w:rPr>
                <w:b/>
              </w:rPr>
              <w:t>Typ studiów:</w:t>
            </w:r>
          </w:p>
          <w:p w:rsidR="005310BA" w:rsidRPr="000E261B" w:rsidRDefault="005310BA" w:rsidP="00F87F3F">
            <w:pPr>
              <w:pStyle w:val="Nagwek5"/>
              <w:rPr>
                <w:rFonts w:ascii="Times New Roman" w:hAnsi="Times New Roman" w:cs="Times New Roman"/>
              </w:rPr>
            </w:pPr>
            <w:r w:rsidRPr="000E261B">
              <w:rPr>
                <w:rFonts w:ascii="Times New Roman" w:hAnsi="Times New Roman" w:cs="Times New Roman"/>
              </w:rPr>
              <w:t>Dzienne</w:t>
            </w:r>
          </w:p>
        </w:tc>
        <w:tc>
          <w:tcPr>
            <w:tcW w:w="1559" w:type="dxa"/>
          </w:tcPr>
          <w:p w:rsidR="005310BA" w:rsidRPr="000E261B" w:rsidRDefault="005310BA" w:rsidP="00F87F3F">
            <w:pPr>
              <w:rPr>
                <w:b/>
              </w:rPr>
            </w:pPr>
            <w:r w:rsidRPr="000E261B">
              <w:rPr>
                <w:b/>
              </w:rPr>
              <w:t>Grupa:</w:t>
            </w:r>
          </w:p>
          <w:p w:rsidR="005310BA" w:rsidRPr="000E261B" w:rsidRDefault="004F618A" w:rsidP="00F87F3F">
            <w:pPr>
              <w:jc w:val="center"/>
              <w:rPr>
                <w:b/>
              </w:rPr>
            </w:pPr>
            <w:r>
              <w:rPr>
                <w:b/>
              </w:rPr>
              <w:t>3</w:t>
            </w:r>
          </w:p>
        </w:tc>
        <w:tc>
          <w:tcPr>
            <w:tcW w:w="3030" w:type="dxa"/>
          </w:tcPr>
          <w:p w:rsidR="005310BA" w:rsidRPr="000E261B" w:rsidRDefault="005310BA" w:rsidP="00F87F3F">
            <w:pPr>
              <w:rPr>
                <w:b/>
              </w:rPr>
            </w:pPr>
          </w:p>
        </w:tc>
        <w:tc>
          <w:tcPr>
            <w:tcW w:w="1910" w:type="dxa"/>
          </w:tcPr>
          <w:p w:rsidR="005310BA" w:rsidRPr="000E261B" w:rsidRDefault="005310BA" w:rsidP="00F87F3F">
            <w:pPr>
              <w:rPr>
                <w:b/>
              </w:rPr>
            </w:pPr>
          </w:p>
        </w:tc>
      </w:tr>
    </w:tbl>
    <w:p w:rsidR="005310BA" w:rsidRDefault="005310BA" w:rsidP="005310BA"/>
    <w:p w:rsidR="005310BA" w:rsidRPr="00313647" w:rsidRDefault="005310BA" w:rsidP="005310BA">
      <w:pPr>
        <w:rPr>
          <w:rFonts w:ascii="Arial" w:hAnsi="Arial" w:cs="Arial"/>
        </w:rPr>
      </w:pPr>
    </w:p>
    <w:p w:rsidR="005310BA" w:rsidRPr="005310BA" w:rsidRDefault="005310BA" w:rsidP="005310BA">
      <w:pPr>
        <w:jc w:val="both"/>
        <w:rPr>
          <w:sz w:val="28"/>
          <w:szCs w:val="28"/>
          <w:u w:val="single"/>
        </w:rPr>
      </w:pPr>
      <w:r w:rsidRPr="005310BA">
        <w:t xml:space="preserve">1. </w:t>
      </w:r>
      <w:r w:rsidRPr="005310BA">
        <w:rPr>
          <w:sz w:val="28"/>
          <w:szCs w:val="28"/>
          <w:u w:val="single"/>
        </w:rPr>
        <w:t>Cel ćwiczenia</w:t>
      </w:r>
    </w:p>
    <w:p w:rsidR="005310BA" w:rsidRPr="005310BA" w:rsidRDefault="005310BA" w:rsidP="005310BA">
      <w:pPr>
        <w:jc w:val="both"/>
      </w:pPr>
    </w:p>
    <w:p w:rsidR="005310BA" w:rsidRPr="005310BA" w:rsidRDefault="005310BA" w:rsidP="005310BA">
      <w:pPr>
        <w:jc w:val="both"/>
      </w:pPr>
      <w:r w:rsidRPr="005310BA">
        <w:tab/>
        <w:t>Zapoznanie się z budową, zasadą działania i podstawowymi parametrami tranzystora polowego, zaznajomienie się z metodami badania tranzystora.</w:t>
      </w:r>
    </w:p>
    <w:p w:rsidR="005310BA" w:rsidRPr="005310BA" w:rsidRDefault="005310BA" w:rsidP="005310BA">
      <w:pPr>
        <w:jc w:val="both"/>
      </w:pPr>
    </w:p>
    <w:p w:rsidR="005310BA" w:rsidRPr="005310BA" w:rsidRDefault="005310BA" w:rsidP="005310BA">
      <w:pPr>
        <w:jc w:val="both"/>
      </w:pPr>
    </w:p>
    <w:p w:rsidR="005310BA" w:rsidRPr="005310BA" w:rsidRDefault="005310BA" w:rsidP="005310BA">
      <w:pPr>
        <w:jc w:val="both"/>
        <w:rPr>
          <w:sz w:val="28"/>
          <w:szCs w:val="28"/>
          <w:u w:val="single"/>
        </w:rPr>
      </w:pPr>
      <w:r w:rsidRPr="005310BA">
        <w:t xml:space="preserve">2. </w:t>
      </w:r>
      <w:r w:rsidRPr="005310BA">
        <w:rPr>
          <w:sz w:val="28"/>
          <w:szCs w:val="28"/>
          <w:u w:val="single"/>
        </w:rPr>
        <w:t>Wiadomości teoretyczne</w:t>
      </w:r>
    </w:p>
    <w:p w:rsidR="005310BA" w:rsidRPr="005310BA" w:rsidRDefault="005310BA" w:rsidP="005310BA">
      <w:pPr>
        <w:jc w:val="both"/>
      </w:pPr>
    </w:p>
    <w:p w:rsidR="005310BA" w:rsidRPr="005310BA" w:rsidRDefault="005310BA" w:rsidP="005310BA">
      <w:pPr>
        <w:jc w:val="both"/>
      </w:pPr>
      <w:r w:rsidRPr="005310BA">
        <w:tab/>
        <w:t>Tranzystory unipolarne - można podzielić na tranzystory JFET (</w:t>
      </w:r>
      <w:proofErr w:type="spellStart"/>
      <w:r w:rsidRPr="005310BA">
        <w:t>junction-FET</w:t>
      </w:r>
      <w:proofErr w:type="spellEnd"/>
      <w:r w:rsidRPr="005310BA">
        <w:t xml:space="preserve">), czyli takie, w których wykorzystano efekt polowy typu złączowego i tranzystory MOSFET (Metal </w:t>
      </w:r>
      <w:proofErr w:type="spellStart"/>
      <w:r w:rsidRPr="005310BA">
        <w:t>Oxide</w:t>
      </w:r>
      <w:proofErr w:type="spellEnd"/>
      <w:r w:rsidRPr="005310BA">
        <w:t xml:space="preserve"> Semiconductor- FET). Zasada działania tranzystora JFET opiera się na wykorzystaniu, do zmiany szerokości kanału przewodzącego prąd elektryczny, modulacji szerokości warstwy zaporowej w funkcji przyłożonego napięcia. Posiadają bardzo wysoka rezystancje wejściowa i można je traktować jako sterowane napięciowo źródło prądowe. W tranzystorze MOSFET rezystancja wejściowa jest jeszcze wyższa, a elektrodę sterującą można traktować jako odizolowaną. Rezystancja wejściowa może mieć wartość co najmniej 100 </w:t>
      </w:r>
      <w:proofErr w:type="spellStart"/>
      <w:r w:rsidRPr="005310BA">
        <w:t>MΩ</w:t>
      </w:r>
      <w:proofErr w:type="spellEnd"/>
      <w:r w:rsidRPr="005310BA">
        <w:t xml:space="preserve">. Pojemność wejściowa powoduje jednak, ze impedancja zmniejsza się ze wzrostem częstotliwości. </w:t>
      </w:r>
      <w:proofErr w:type="spellStart"/>
      <w:r w:rsidRPr="005310BA">
        <w:t>MOSFET-y</w:t>
      </w:r>
      <w:proofErr w:type="spellEnd"/>
      <w:r w:rsidRPr="005310BA">
        <w:t xml:space="preserve"> dużych mocy mogą mieć bardzo dużą pojemność wejściowa w granicach od 400 do 500 </w:t>
      </w:r>
      <w:proofErr w:type="spellStart"/>
      <w:r w:rsidRPr="005310BA">
        <w:t>pF</w:t>
      </w:r>
      <w:proofErr w:type="spellEnd"/>
      <w:r w:rsidRPr="005310BA">
        <w:t xml:space="preserve"> co powoduje, że odgrywają one małą role nawet w układach niskiej częstotliwości.</w:t>
      </w:r>
    </w:p>
    <w:p w:rsidR="005310BA" w:rsidRPr="005310BA" w:rsidRDefault="005310BA" w:rsidP="005310BA">
      <w:pPr>
        <w:jc w:val="both"/>
      </w:pPr>
      <w:r w:rsidRPr="005310BA">
        <w:t>Zaletą tranzystorów polowych jest to, ze ujemny współczynnik temperaturowy może skompensować termiczny wzrost prądu w sposób liniowy.</w:t>
      </w:r>
    </w:p>
    <w:p w:rsidR="005310BA" w:rsidRPr="005310BA" w:rsidRDefault="005310BA" w:rsidP="005310BA">
      <w:pPr>
        <w:ind w:firstLine="708"/>
        <w:jc w:val="both"/>
      </w:pPr>
      <w:r w:rsidRPr="005310BA">
        <w:t>Tranzystory polowe występują jako dwa odmienne typy: z kanałem zubożanym (</w:t>
      </w:r>
      <w:proofErr w:type="spellStart"/>
      <w:r w:rsidRPr="005310BA">
        <w:t>depletion</w:t>
      </w:r>
      <w:proofErr w:type="spellEnd"/>
      <w:r w:rsidRPr="005310BA">
        <w:t xml:space="preserve"> </w:t>
      </w:r>
      <w:proofErr w:type="spellStart"/>
      <w:r w:rsidRPr="005310BA">
        <w:t>mode</w:t>
      </w:r>
      <w:proofErr w:type="spellEnd"/>
      <w:r w:rsidRPr="005310BA">
        <w:t>) i wzbogacanym (</w:t>
      </w:r>
      <w:proofErr w:type="spellStart"/>
      <w:r w:rsidRPr="005310BA">
        <w:t>enhancement</w:t>
      </w:r>
      <w:proofErr w:type="spellEnd"/>
      <w:r w:rsidRPr="005310BA">
        <w:t xml:space="preserve"> </w:t>
      </w:r>
      <w:proofErr w:type="spellStart"/>
      <w:r w:rsidRPr="005310BA">
        <w:t>mode</w:t>
      </w:r>
      <w:proofErr w:type="spellEnd"/>
      <w:r w:rsidRPr="005310BA">
        <w:t>). Typ z kanałem wzbogacanym nie przewodzi prądu dopóki nie zostanie przyłożone napięcie na bramkę. Typ zubożający przewodzi prąd dopóki napięcie bramki wynosi zero. Żeby zmienić ten stan należy przyłożyć napięcie dodatnie, jeżeli tranzystor polowy jest tranzystorem typu p lub ujemne, jeżeli jest typu n.</w:t>
      </w:r>
    </w:p>
    <w:p w:rsidR="005310BA" w:rsidRPr="005310BA" w:rsidRDefault="005310BA" w:rsidP="005310BA">
      <w:pPr>
        <w:jc w:val="both"/>
        <w:rPr>
          <w:sz w:val="28"/>
          <w:szCs w:val="28"/>
          <w:u w:val="single"/>
        </w:rPr>
      </w:pPr>
      <w:r w:rsidRPr="005310BA">
        <w:br w:type="page"/>
      </w:r>
      <w:r w:rsidRPr="005310BA">
        <w:lastRenderedPageBreak/>
        <w:t xml:space="preserve">3. </w:t>
      </w:r>
      <w:r w:rsidRPr="005310BA">
        <w:rPr>
          <w:sz w:val="28"/>
          <w:szCs w:val="28"/>
          <w:u w:val="single"/>
        </w:rPr>
        <w:t>Przebieg ćwiczenia</w:t>
      </w:r>
    </w:p>
    <w:p w:rsidR="005310BA" w:rsidRPr="005310BA" w:rsidRDefault="005310BA" w:rsidP="005310BA">
      <w:pPr>
        <w:ind w:firstLine="708"/>
        <w:jc w:val="both"/>
      </w:pPr>
    </w:p>
    <w:p w:rsidR="005310BA" w:rsidRPr="005310BA" w:rsidRDefault="005310BA" w:rsidP="005310BA">
      <w:pPr>
        <w:ind w:firstLine="708"/>
        <w:jc w:val="both"/>
      </w:pPr>
      <w:r w:rsidRPr="005310BA">
        <w:t>Zadaniem będzie wyznaczenie charakterystyk:</w:t>
      </w:r>
    </w:p>
    <w:p w:rsidR="005310BA" w:rsidRPr="005310BA" w:rsidRDefault="005310BA" w:rsidP="005310BA">
      <w:pPr>
        <w:ind w:firstLine="708"/>
        <w:jc w:val="both"/>
      </w:pPr>
    </w:p>
    <w:p w:rsidR="005310BA" w:rsidRPr="005310BA" w:rsidRDefault="005310BA" w:rsidP="005310BA">
      <w:pPr>
        <w:numPr>
          <w:ilvl w:val="0"/>
          <w:numId w:val="1"/>
        </w:numPr>
        <w:jc w:val="both"/>
      </w:pPr>
      <w:r w:rsidRPr="005310BA">
        <w:t>Wyjściowej</w:t>
      </w:r>
      <w:r w:rsidRPr="005310BA">
        <w:tab/>
      </w:r>
      <w:r w:rsidRPr="005310BA">
        <w:tab/>
        <w:t>I = f(U</w:t>
      </w:r>
      <w:r w:rsidRPr="005310BA">
        <w:rPr>
          <w:vertAlign w:val="subscript"/>
        </w:rPr>
        <w:t>DS</w:t>
      </w:r>
      <w:r w:rsidRPr="005310BA">
        <w:t xml:space="preserve">) przy </w:t>
      </w:r>
      <w:proofErr w:type="spellStart"/>
      <w:r w:rsidRPr="005310BA">
        <w:t>U</w:t>
      </w:r>
      <w:r w:rsidRPr="005310BA">
        <w:rPr>
          <w:vertAlign w:val="subscript"/>
        </w:rPr>
        <w:t>GS</w:t>
      </w:r>
      <w:r w:rsidRPr="005310BA">
        <w:t>=const</w:t>
      </w:r>
      <w:proofErr w:type="spellEnd"/>
      <w:r w:rsidRPr="005310BA">
        <w:t>.</w:t>
      </w:r>
    </w:p>
    <w:p w:rsidR="005310BA" w:rsidRPr="005310BA" w:rsidRDefault="005310BA" w:rsidP="005310BA">
      <w:pPr>
        <w:numPr>
          <w:ilvl w:val="0"/>
          <w:numId w:val="1"/>
        </w:numPr>
        <w:jc w:val="both"/>
      </w:pPr>
      <w:r w:rsidRPr="005310BA">
        <w:t>Przejściowej</w:t>
      </w:r>
      <w:r w:rsidRPr="005310BA">
        <w:tab/>
      </w:r>
      <w:r w:rsidRPr="005310BA">
        <w:tab/>
        <w:t>I</w:t>
      </w:r>
      <w:r w:rsidRPr="005310BA">
        <w:rPr>
          <w:vertAlign w:val="subscript"/>
        </w:rPr>
        <w:t>D</w:t>
      </w:r>
      <w:r w:rsidRPr="005310BA">
        <w:t xml:space="preserve"> = f(U</w:t>
      </w:r>
      <w:r w:rsidRPr="005310BA">
        <w:rPr>
          <w:vertAlign w:val="subscript"/>
        </w:rPr>
        <w:t>GS</w:t>
      </w:r>
      <w:r w:rsidRPr="005310BA">
        <w:t xml:space="preserve">) przy </w:t>
      </w:r>
      <w:proofErr w:type="spellStart"/>
      <w:r w:rsidRPr="005310BA">
        <w:t>U</w:t>
      </w:r>
      <w:r w:rsidRPr="005310BA">
        <w:rPr>
          <w:vertAlign w:val="subscript"/>
        </w:rPr>
        <w:t>DS</w:t>
      </w:r>
      <w:r w:rsidRPr="005310BA">
        <w:t>=const</w:t>
      </w:r>
      <w:proofErr w:type="spellEnd"/>
      <w:r w:rsidRPr="005310BA">
        <w:t>.</w:t>
      </w:r>
    </w:p>
    <w:p w:rsidR="005310BA" w:rsidRPr="005310BA" w:rsidRDefault="005310BA" w:rsidP="005310BA">
      <w:pPr>
        <w:jc w:val="both"/>
      </w:pPr>
    </w:p>
    <w:p w:rsidR="005310BA" w:rsidRPr="005310BA" w:rsidRDefault="005310BA" w:rsidP="005310BA">
      <w:pPr>
        <w:jc w:val="both"/>
      </w:pPr>
    </w:p>
    <w:p w:rsidR="005310BA" w:rsidRPr="005310BA" w:rsidRDefault="005310BA" w:rsidP="005310BA">
      <w:pPr>
        <w:jc w:val="both"/>
      </w:pPr>
    </w:p>
    <w:p w:rsidR="005310BA" w:rsidRPr="005310BA" w:rsidRDefault="005310BA" w:rsidP="005310BA">
      <w:pPr>
        <w:jc w:val="both"/>
      </w:pPr>
    </w:p>
    <w:p w:rsidR="005310BA" w:rsidRPr="005310BA" w:rsidRDefault="005310BA" w:rsidP="005310BA">
      <w:pPr>
        <w:jc w:val="both"/>
        <w:rPr>
          <w:sz w:val="28"/>
          <w:szCs w:val="28"/>
          <w:u w:val="single"/>
        </w:rPr>
      </w:pPr>
      <w:r w:rsidRPr="005310BA">
        <w:t xml:space="preserve">4. </w:t>
      </w:r>
      <w:r w:rsidRPr="005310BA">
        <w:rPr>
          <w:sz w:val="28"/>
          <w:szCs w:val="28"/>
          <w:u w:val="single"/>
        </w:rPr>
        <w:t>Schemat połączeń</w:t>
      </w:r>
    </w:p>
    <w:p w:rsidR="005310BA" w:rsidRPr="005310BA" w:rsidRDefault="005310BA" w:rsidP="005310BA">
      <w:pPr>
        <w:jc w:val="both"/>
        <w:rPr>
          <w:sz w:val="28"/>
          <w:szCs w:val="28"/>
          <w:u w:val="single"/>
        </w:rPr>
      </w:pPr>
    </w:p>
    <w:p w:rsidR="005310BA" w:rsidRPr="005310BA" w:rsidRDefault="005310BA" w:rsidP="005310BA">
      <w:pPr>
        <w:jc w:val="center"/>
        <w:rPr>
          <w:sz w:val="28"/>
          <w:szCs w:val="28"/>
        </w:rPr>
      </w:pPr>
      <w:r w:rsidRPr="005310BA">
        <w:rPr>
          <w:noProof/>
          <w:sz w:val="28"/>
          <w:szCs w:val="28"/>
        </w:rPr>
        <w:drawing>
          <wp:inline distT="0" distB="0" distL="0" distR="0">
            <wp:extent cx="4419600" cy="1609725"/>
            <wp:effectExtent l="1905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4419600" cy="1609725"/>
                    </a:xfrm>
                    <a:prstGeom prst="rect">
                      <a:avLst/>
                    </a:prstGeom>
                    <a:noFill/>
                    <a:ln w="9525">
                      <a:noFill/>
                      <a:miter lim="800000"/>
                      <a:headEnd/>
                      <a:tailEnd/>
                    </a:ln>
                  </pic:spPr>
                </pic:pic>
              </a:graphicData>
            </a:graphic>
          </wp:inline>
        </w:drawing>
      </w:r>
    </w:p>
    <w:p w:rsidR="005310BA" w:rsidRPr="005310BA" w:rsidRDefault="005310BA" w:rsidP="005310BA">
      <w:pPr>
        <w:jc w:val="both"/>
        <w:rPr>
          <w:sz w:val="28"/>
          <w:szCs w:val="28"/>
        </w:rPr>
      </w:pPr>
    </w:p>
    <w:p w:rsidR="005310BA" w:rsidRPr="005310BA" w:rsidRDefault="005310BA" w:rsidP="005310BA">
      <w:pPr>
        <w:jc w:val="both"/>
        <w:rPr>
          <w:u w:val="single"/>
        </w:rPr>
      </w:pPr>
      <w:r w:rsidRPr="005310BA">
        <w:rPr>
          <w:u w:val="single"/>
        </w:rPr>
        <w:t>Dane katalogowe</w:t>
      </w:r>
    </w:p>
    <w:p w:rsidR="005310BA" w:rsidRPr="005310BA" w:rsidRDefault="005310BA" w:rsidP="005310BA">
      <w:pPr>
        <w:jc w:val="both"/>
      </w:pPr>
    </w:p>
    <w:p w:rsidR="007E76C3" w:rsidRDefault="005310BA">
      <w:r>
        <w:rPr>
          <w:noProof/>
        </w:rPr>
        <w:drawing>
          <wp:inline distT="0" distB="0" distL="0" distR="0">
            <wp:extent cx="4600575" cy="4314825"/>
            <wp:effectExtent l="1905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4600575" cy="4314825"/>
                    </a:xfrm>
                    <a:prstGeom prst="rect">
                      <a:avLst/>
                    </a:prstGeom>
                    <a:noFill/>
                    <a:ln w="9525">
                      <a:noFill/>
                      <a:miter lim="800000"/>
                      <a:headEnd/>
                      <a:tailEnd/>
                    </a:ln>
                  </pic:spPr>
                </pic:pic>
              </a:graphicData>
            </a:graphic>
          </wp:inline>
        </w:drawing>
      </w:r>
    </w:p>
    <w:p w:rsidR="005310BA" w:rsidRDefault="005310BA"/>
    <w:p w:rsidR="005310BA" w:rsidRPr="005310BA" w:rsidRDefault="005310BA" w:rsidP="005310BA">
      <w:pPr>
        <w:rPr>
          <w:sz w:val="28"/>
          <w:szCs w:val="28"/>
          <w:u w:val="single"/>
        </w:rPr>
      </w:pPr>
      <w:r w:rsidRPr="005310BA">
        <w:lastRenderedPageBreak/>
        <w:t xml:space="preserve">5. </w:t>
      </w:r>
      <w:r w:rsidRPr="005310BA">
        <w:rPr>
          <w:sz w:val="28"/>
          <w:szCs w:val="28"/>
          <w:u w:val="single"/>
        </w:rPr>
        <w:t xml:space="preserve">Spis przyrządów </w:t>
      </w:r>
    </w:p>
    <w:p w:rsidR="005310BA" w:rsidRPr="005310BA" w:rsidRDefault="005310BA" w:rsidP="005310BA">
      <w:pPr>
        <w:jc w:val="both"/>
      </w:pPr>
      <w:r w:rsidRPr="005310BA">
        <w:tab/>
      </w:r>
    </w:p>
    <w:p w:rsidR="005310BA" w:rsidRPr="005310BA" w:rsidRDefault="005310BA" w:rsidP="005310BA">
      <w:pPr>
        <w:numPr>
          <w:ilvl w:val="0"/>
          <w:numId w:val="2"/>
        </w:numPr>
      </w:pPr>
      <w:r w:rsidRPr="005310BA">
        <w:t>miliamperomierz – miliwoltomierz</w:t>
      </w:r>
      <w:r w:rsidRPr="005310BA">
        <w:tab/>
        <w:t xml:space="preserve">   kl.0,5   wielozakresowy   </w:t>
      </w:r>
      <w:proofErr w:type="spellStart"/>
      <w:r w:rsidRPr="005310BA">
        <w:t>nr</w:t>
      </w:r>
      <w:proofErr w:type="spellEnd"/>
      <w:r w:rsidRPr="005310BA">
        <w:t>. Brak</w:t>
      </w:r>
    </w:p>
    <w:p w:rsidR="005310BA" w:rsidRPr="005310BA" w:rsidRDefault="005310BA" w:rsidP="005310BA">
      <w:pPr>
        <w:numPr>
          <w:ilvl w:val="0"/>
          <w:numId w:val="2"/>
        </w:numPr>
      </w:pPr>
      <w:r w:rsidRPr="005310BA">
        <w:t>Tranzystor polowy</w:t>
      </w:r>
    </w:p>
    <w:p w:rsidR="005310BA" w:rsidRPr="005310BA" w:rsidRDefault="005310BA" w:rsidP="005310BA">
      <w:pPr>
        <w:numPr>
          <w:ilvl w:val="0"/>
          <w:numId w:val="2"/>
        </w:numPr>
      </w:pPr>
      <w:r w:rsidRPr="005310BA">
        <w:t>2x zasilacz regulowany</w:t>
      </w:r>
    </w:p>
    <w:p w:rsidR="005310BA" w:rsidRPr="00B34902" w:rsidRDefault="005310BA" w:rsidP="005310BA">
      <w:pPr>
        <w:jc w:val="both"/>
      </w:pPr>
    </w:p>
    <w:p w:rsidR="004F5497" w:rsidRPr="00B34902" w:rsidRDefault="004F5497" w:rsidP="004F5497">
      <w:pPr>
        <w:jc w:val="both"/>
        <w:rPr>
          <w:sz w:val="28"/>
          <w:szCs w:val="28"/>
          <w:u w:val="single"/>
        </w:rPr>
      </w:pPr>
      <w:r w:rsidRPr="00B34902">
        <w:t>6.</w:t>
      </w:r>
      <w:r w:rsidRPr="00B34902">
        <w:rPr>
          <w:sz w:val="28"/>
          <w:szCs w:val="28"/>
        </w:rPr>
        <w:t xml:space="preserve"> </w:t>
      </w:r>
      <w:r w:rsidRPr="00B34902">
        <w:rPr>
          <w:sz w:val="28"/>
          <w:szCs w:val="28"/>
          <w:u w:val="single"/>
        </w:rPr>
        <w:t>Tabele pomiarów</w:t>
      </w:r>
    </w:p>
    <w:p w:rsidR="000679A5" w:rsidRPr="00B34902" w:rsidRDefault="000679A5" w:rsidP="004F5497">
      <w:pPr>
        <w:jc w:val="both"/>
        <w:rPr>
          <w:sz w:val="28"/>
          <w:szCs w:val="28"/>
          <w:u w:val="single"/>
        </w:rPr>
      </w:pPr>
    </w:p>
    <w:p w:rsidR="004F5497" w:rsidRPr="00B34902" w:rsidRDefault="004F5497" w:rsidP="004F5497">
      <w:pPr>
        <w:jc w:val="both"/>
        <w:rPr>
          <w:sz w:val="28"/>
          <w:szCs w:val="28"/>
          <w:u w:val="single"/>
        </w:rPr>
      </w:pPr>
    </w:p>
    <w:p w:rsidR="004F5497" w:rsidRPr="00B34902" w:rsidRDefault="004F5497" w:rsidP="000679A5">
      <w:pPr>
        <w:pStyle w:val="Akapitzlist"/>
        <w:numPr>
          <w:ilvl w:val="0"/>
          <w:numId w:val="3"/>
        </w:numPr>
        <w:jc w:val="both"/>
      </w:pPr>
      <w:r w:rsidRPr="00B34902">
        <w:t>charakterystyka przejściowa</w:t>
      </w:r>
    </w:p>
    <w:p w:rsidR="000679A5" w:rsidRDefault="000679A5" w:rsidP="000679A5">
      <w:pPr>
        <w:jc w:val="both"/>
        <w:rPr>
          <w:rFonts w:ascii="Arial" w:hAnsi="Arial" w:cs="Arial"/>
        </w:rPr>
      </w:pPr>
    </w:p>
    <w:p w:rsidR="000679A5" w:rsidRPr="000679A5" w:rsidRDefault="000679A5" w:rsidP="000679A5">
      <w:pPr>
        <w:jc w:val="both"/>
        <w:rPr>
          <w:rFonts w:ascii="Arial" w:hAnsi="Arial" w:cs="Arial"/>
        </w:rPr>
      </w:pPr>
    </w:p>
    <w:tbl>
      <w:tblPr>
        <w:tblW w:w="5400" w:type="dxa"/>
        <w:tblInd w:w="47" w:type="dxa"/>
        <w:tblCellMar>
          <w:left w:w="70" w:type="dxa"/>
          <w:right w:w="70" w:type="dxa"/>
        </w:tblCellMar>
        <w:tblLook w:val="04A0"/>
      </w:tblPr>
      <w:tblGrid>
        <w:gridCol w:w="1080"/>
        <w:gridCol w:w="1080"/>
        <w:gridCol w:w="1080"/>
        <w:gridCol w:w="1080"/>
        <w:gridCol w:w="1080"/>
      </w:tblGrid>
      <w:tr w:rsidR="004F5497" w:rsidRPr="004F5497" w:rsidTr="004F5497">
        <w:trPr>
          <w:trHeight w:val="405"/>
        </w:trPr>
        <w:tc>
          <w:tcPr>
            <w:tcW w:w="1080" w:type="dxa"/>
            <w:vMerge w:val="restart"/>
            <w:tcBorders>
              <w:top w:val="double" w:sz="6" w:space="0" w:color="auto"/>
              <w:left w:val="double" w:sz="6" w:space="0" w:color="auto"/>
              <w:bottom w:val="single" w:sz="8" w:space="0" w:color="000000"/>
              <w:right w:val="single" w:sz="8" w:space="0" w:color="auto"/>
            </w:tcBorders>
            <w:shd w:val="clear" w:color="auto" w:fill="auto"/>
            <w:noWrap/>
            <w:vAlign w:val="bottom"/>
            <w:hideMark/>
          </w:tcPr>
          <w:p w:rsidR="004F5497" w:rsidRPr="004F5497" w:rsidRDefault="004F5497" w:rsidP="004F5497">
            <w:pPr>
              <w:jc w:val="center"/>
              <w:rPr>
                <w:color w:val="000000"/>
              </w:rPr>
            </w:pPr>
            <w:proofErr w:type="spellStart"/>
            <w:r w:rsidRPr="004F5497">
              <w:rPr>
                <w:color w:val="000000"/>
              </w:rPr>
              <w:t>lp</w:t>
            </w:r>
            <w:proofErr w:type="spellEnd"/>
          </w:p>
        </w:tc>
        <w:tc>
          <w:tcPr>
            <w:tcW w:w="2160" w:type="dxa"/>
            <w:gridSpan w:val="2"/>
            <w:tcBorders>
              <w:top w:val="double" w:sz="6" w:space="0" w:color="auto"/>
              <w:left w:val="nil"/>
              <w:bottom w:val="single" w:sz="8" w:space="0" w:color="auto"/>
              <w:right w:val="single" w:sz="8" w:space="0" w:color="000000"/>
            </w:tcBorders>
            <w:shd w:val="clear" w:color="auto" w:fill="auto"/>
            <w:noWrap/>
            <w:vAlign w:val="bottom"/>
            <w:hideMark/>
          </w:tcPr>
          <w:p w:rsidR="004F5497" w:rsidRPr="004F5497" w:rsidRDefault="004F5497" w:rsidP="004F5497">
            <w:pPr>
              <w:jc w:val="center"/>
              <w:rPr>
                <w:color w:val="000000"/>
              </w:rPr>
            </w:pPr>
            <w:r w:rsidRPr="004F5497">
              <w:rPr>
                <w:color w:val="000000"/>
              </w:rPr>
              <w:t>U</w:t>
            </w:r>
            <w:r w:rsidRPr="004F5497">
              <w:rPr>
                <w:color w:val="000000"/>
                <w:vertAlign w:val="subscript"/>
              </w:rPr>
              <w:t>DS</w:t>
            </w:r>
            <w:r w:rsidRPr="004F5497">
              <w:rPr>
                <w:color w:val="000000"/>
              </w:rPr>
              <w:t>=20</w:t>
            </w:r>
          </w:p>
        </w:tc>
        <w:tc>
          <w:tcPr>
            <w:tcW w:w="2160" w:type="dxa"/>
            <w:gridSpan w:val="2"/>
            <w:tcBorders>
              <w:top w:val="double" w:sz="6"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U</w:t>
            </w:r>
            <w:r w:rsidRPr="004F5497">
              <w:rPr>
                <w:color w:val="000000"/>
                <w:vertAlign w:val="subscript"/>
              </w:rPr>
              <w:t>DS</w:t>
            </w:r>
            <w:r w:rsidRPr="004F5497">
              <w:rPr>
                <w:color w:val="000000"/>
              </w:rPr>
              <w:t>=</w:t>
            </w:r>
            <w:r w:rsidRPr="004F5497">
              <w:rPr>
                <w:b/>
                <w:bCs/>
                <w:color w:val="000000"/>
              </w:rPr>
              <w:t>10</w:t>
            </w:r>
          </w:p>
        </w:tc>
      </w:tr>
      <w:tr w:rsidR="004F5497" w:rsidRPr="004F5497" w:rsidTr="004F5497">
        <w:trPr>
          <w:trHeight w:val="390"/>
        </w:trPr>
        <w:tc>
          <w:tcPr>
            <w:tcW w:w="1080" w:type="dxa"/>
            <w:vMerge/>
            <w:tcBorders>
              <w:top w:val="double" w:sz="6" w:space="0" w:color="auto"/>
              <w:left w:val="double" w:sz="6" w:space="0" w:color="auto"/>
              <w:bottom w:val="single" w:sz="8" w:space="0" w:color="000000"/>
              <w:right w:val="single" w:sz="8" w:space="0" w:color="auto"/>
            </w:tcBorders>
            <w:vAlign w:val="center"/>
            <w:hideMark/>
          </w:tcPr>
          <w:p w:rsidR="004F5497" w:rsidRPr="004F5497" w:rsidRDefault="004F5497" w:rsidP="004F5497">
            <w:pPr>
              <w:rPr>
                <w:color w:val="000000"/>
              </w:rPr>
            </w:pPr>
          </w:p>
        </w:tc>
        <w:tc>
          <w:tcPr>
            <w:tcW w:w="1080" w:type="dxa"/>
            <w:tcBorders>
              <w:top w:val="nil"/>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I</w:t>
            </w:r>
          </w:p>
        </w:tc>
        <w:tc>
          <w:tcPr>
            <w:tcW w:w="1080" w:type="dxa"/>
            <w:tcBorders>
              <w:top w:val="nil"/>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U</w:t>
            </w:r>
            <w:r w:rsidRPr="004F5497">
              <w:rPr>
                <w:color w:val="000000"/>
                <w:vertAlign w:val="subscript"/>
              </w:rPr>
              <w:t>GS</w:t>
            </w:r>
          </w:p>
        </w:tc>
        <w:tc>
          <w:tcPr>
            <w:tcW w:w="1080" w:type="dxa"/>
            <w:tcBorders>
              <w:top w:val="nil"/>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I</w:t>
            </w:r>
          </w:p>
        </w:tc>
        <w:tc>
          <w:tcPr>
            <w:tcW w:w="1080" w:type="dxa"/>
            <w:tcBorders>
              <w:top w:val="nil"/>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U</w:t>
            </w:r>
            <w:r w:rsidRPr="004F5497">
              <w:rPr>
                <w:color w:val="000000"/>
                <w:vertAlign w:val="subscript"/>
              </w:rPr>
              <w:t>GS</w:t>
            </w:r>
          </w:p>
        </w:tc>
      </w:tr>
      <w:tr w:rsidR="004F5497" w:rsidRPr="004F5497" w:rsidTr="004F5497">
        <w:trPr>
          <w:trHeight w:val="330"/>
        </w:trPr>
        <w:tc>
          <w:tcPr>
            <w:tcW w:w="1080" w:type="dxa"/>
            <w:vMerge/>
            <w:tcBorders>
              <w:top w:val="double" w:sz="6" w:space="0" w:color="auto"/>
              <w:left w:val="double" w:sz="6" w:space="0" w:color="auto"/>
              <w:bottom w:val="double" w:sz="6" w:space="0" w:color="auto"/>
              <w:right w:val="single" w:sz="8" w:space="0" w:color="auto"/>
            </w:tcBorders>
            <w:vAlign w:val="center"/>
            <w:hideMark/>
          </w:tcPr>
          <w:p w:rsidR="004F5497" w:rsidRPr="004F5497" w:rsidRDefault="004F5497" w:rsidP="004F5497">
            <w:pPr>
              <w:rPr>
                <w:color w:val="000000"/>
              </w:rPr>
            </w:pPr>
          </w:p>
        </w:tc>
        <w:tc>
          <w:tcPr>
            <w:tcW w:w="1080" w:type="dxa"/>
            <w:tcBorders>
              <w:top w:val="nil"/>
              <w:left w:val="nil"/>
              <w:bottom w:val="double" w:sz="6" w:space="0" w:color="auto"/>
              <w:right w:val="single" w:sz="8" w:space="0" w:color="auto"/>
            </w:tcBorders>
            <w:shd w:val="clear" w:color="auto" w:fill="auto"/>
            <w:noWrap/>
            <w:vAlign w:val="bottom"/>
            <w:hideMark/>
          </w:tcPr>
          <w:p w:rsidR="004F5497" w:rsidRPr="004F5497" w:rsidRDefault="004F5497" w:rsidP="004F5497">
            <w:pPr>
              <w:jc w:val="center"/>
              <w:rPr>
                <w:color w:val="000000"/>
              </w:rPr>
            </w:pPr>
            <w:proofErr w:type="spellStart"/>
            <w:r w:rsidRPr="004F5497">
              <w:rPr>
                <w:color w:val="000000"/>
              </w:rPr>
              <w:t>mA</w:t>
            </w:r>
            <w:proofErr w:type="spellEnd"/>
          </w:p>
        </w:tc>
        <w:tc>
          <w:tcPr>
            <w:tcW w:w="1080" w:type="dxa"/>
            <w:tcBorders>
              <w:top w:val="nil"/>
              <w:left w:val="nil"/>
              <w:bottom w:val="double" w:sz="6"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V</w:t>
            </w:r>
          </w:p>
        </w:tc>
        <w:tc>
          <w:tcPr>
            <w:tcW w:w="1080" w:type="dxa"/>
            <w:tcBorders>
              <w:top w:val="nil"/>
              <w:left w:val="nil"/>
              <w:bottom w:val="double" w:sz="6" w:space="0" w:color="auto"/>
              <w:right w:val="single" w:sz="8" w:space="0" w:color="auto"/>
            </w:tcBorders>
            <w:shd w:val="clear" w:color="auto" w:fill="auto"/>
            <w:noWrap/>
            <w:vAlign w:val="bottom"/>
            <w:hideMark/>
          </w:tcPr>
          <w:p w:rsidR="004F5497" w:rsidRPr="004F5497" w:rsidRDefault="004F5497" w:rsidP="004F5497">
            <w:pPr>
              <w:jc w:val="center"/>
              <w:rPr>
                <w:color w:val="000000"/>
              </w:rPr>
            </w:pPr>
            <w:proofErr w:type="spellStart"/>
            <w:r w:rsidRPr="004F5497">
              <w:rPr>
                <w:color w:val="000000"/>
              </w:rPr>
              <w:t>mA</w:t>
            </w:r>
            <w:proofErr w:type="spellEnd"/>
          </w:p>
        </w:tc>
        <w:tc>
          <w:tcPr>
            <w:tcW w:w="1080" w:type="dxa"/>
            <w:tcBorders>
              <w:top w:val="nil"/>
              <w:left w:val="nil"/>
              <w:bottom w:val="double" w:sz="6"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V</w:t>
            </w:r>
          </w:p>
        </w:tc>
      </w:tr>
      <w:tr w:rsidR="004F5497" w:rsidRPr="004F5497" w:rsidTr="004F5497">
        <w:trPr>
          <w:trHeight w:val="330"/>
        </w:trPr>
        <w:tc>
          <w:tcPr>
            <w:tcW w:w="1080" w:type="dxa"/>
            <w:tcBorders>
              <w:top w:val="double" w:sz="6" w:space="0" w:color="auto"/>
              <w:left w:val="double" w:sz="6" w:space="0" w:color="auto"/>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w:t>
            </w:r>
          </w:p>
        </w:tc>
        <w:tc>
          <w:tcPr>
            <w:tcW w:w="1080" w:type="dxa"/>
            <w:tcBorders>
              <w:top w:val="double" w:sz="6"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0,006</w:t>
            </w:r>
          </w:p>
        </w:tc>
        <w:tc>
          <w:tcPr>
            <w:tcW w:w="1080" w:type="dxa"/>
            <w:tcBorders>
              <w:top w:val="double" w:sz="6"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-3</w:t>
            </w:r>
          </w:p>
        </w:tc>
        <w:tc>
          <w:tcPr>
            <w:tcW w:w="1080" w:type="dxa"/>
            <w:tcBorders>
              <w:top w:val="double" w:sz="6"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0,012</w:t>
            </w:r>
          </w:p>
        </w:tc>
        <w:tc>
          <w:tcPr>
            <w:tcW w:w="1080" w:type="dxa"/>
            <w:tcBorders>
              <w:top w:val="double" w:sz="6"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-3</w:t>
            </w:r>
          </w:p>
        </w:tc>
      </w:tr>
      <w:tr w:rsidR="004F5497" w:rsidRPr="004F5497" w:rsidTr="004F5497">
        <w:trPr>
          <w:trHeight w:val="330"/>
        </w:trPr>
        <w:tc>
          <w:tcPr>
            <w:tcW w:w="1080" w:type="dxa"/>
            <w:tcBorders>
              <w:top w:val="nil"/>
              <w:left w:val="double" w:sz="6" w:space="0" w:color="auto"/>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0,131</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-2,75</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0,114</w:t>
            </w:r>
          </w:p>
        </w:tc>
        <w:tc>
          <w:tcPr>
            <w:tcW w:w="1080" w:type="dxa"/>
            <w:tcBorders>
              <w:top w:val="single" w:sz="8"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-2,75</w:t>
            </w:r>
          </w:p>
        </w:tc>
      </w:tr>
      <w:tr w:rsidR="004F5497" w:rsidRPr="004F5497" w:rsidTr="004F5497">
        <w:trPr>
          <w:trHeight w:val="330"/>
        </w:trPr>
        <w:tc>
          <w:tcPr>
            <w:tcW w:w="1080" w:type="dxa"/>
            <w:tcBorders>
              <w:top w:val="nil"/>
              <w:left w:val="double" w:sz="6" w:space="0" w:color="auto"/>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3.</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0,407</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-2,5</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0,36</w:t>
            </w:r>
          </w:p>
        </w:tc>
        <w:tc>
          <w:tcPr>
            <w:tcW w:w="1080" w:type="dxa"/>
            <w:tcBorders>
              <w:top w:val="single" w:sz="8"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-2,5</w:t>
            </w:r>
          </w:p>
        </w:tc>
      </w:tr>
      <w:tr w:rsidR="004F5497" w:rsidRPr="004F5497" w:rsidTr="004F5497">
        <w:trPr>
          <w:trHeight w:val="330"/>
        </w:trPr>
        <w:tc>
          <w:tcPr>
            <w:tcW w:w="1080" w:type="dxa"/>
            <w:tcBorders>
              <w:top w:val="nil"/>
              <w:left w:val="double" w:sz="6" w:space="0" w:color="auto"/>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4.</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0,85</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-2,25</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0,82</w:t>
            </w:r>
          </w:p>
        </w:tc>
        <w:tc>
          <w:tcPr>
            <w:tcW w:w="1080" w:type="dxa"/>
            <w:tcBorders>
              <w:top w:val="single" w:sz="8"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-2,25</w:t>
            </w:r>
          </w:p>
        </w:tc>
      </w:tr>
      <w:tr w:rsidR="004F5497" w:rsidRPr="004F5497" w:rsidTr="004F5497">
        <w:trPr>
          <w:trHeight w:val="330"/>
        </w:trPr>
        <w:tc>
          <w:tcPr>
            <w:tcW w:w="1080" w:type="dxa"/>
            <w:tcBorders>
              <w:top w:val="nil"/>
              <w:left w:val="double" w:sz="6" w:space="0" w:color="auto"/>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5.</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1,449</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1,4</w:t>
            </w:r>
          </w:p>
        </w:tc>
        <w:tc>
          <w:tcPr>
            <w:tcW w:w="1080" w:type="dxa"/>
            <w:tcBorders>
              <w:top w:val="single" w:sz="8"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w:t>
            </w:r>
          </w:p>
        </w:tc>
      </w:tr>
      <w:tr w:rsidR="004F5497" w:rsidRPr="004F5497" w:rsidTr="004F5497">
        <w:trPr>
          <w:trHeight w:val="330"/>
        </w:trPr>
        <w:tc>
          <w:tcPr>
            <w:tcW w:w="1080" w:type="dxa"/>
            <w:tcBorders>
              <w:top w:val="nil"/>
              <w:left w:val="double" w:sz="6" w:space="0" w:color="auto"/>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6.</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2,266</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-1,75</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2,08</w:t>
            </w:r>
          </w:p>
        </w:tc>
        <w:tc>
          <w:tcPr>
            <w:tcW w:w="1080" w:type="dxa"/>
            <w:tcBorders>
              <w:top w:val="single" w:sz="8"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-1,75</w:t>
            </w:r>
          </w:p>
        </w:tc>
      </w:tr>
      <w:tr w:rsidR="004F5497" w:rsidRPr="004F5497" w:rsidTr="004F5497">
        <w:trPr>
          <w:trHeight w:val="330"/>
        </w:trPr>
        <w:tc>
          <w:tcPr>
            <w:tcW w:w="1080" w:type="dxa"/>
            <w:tcBorders>
              <w:top w:val="nil"/>
              <w:left w:val="double" w:sz="6" w:space="0" w:color="auto"/>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7.</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2,82</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-1,5</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2,777</w:t>
            </w:r>
          </w:p>
        </w:tc>
        <w:tc>
          <w:tcPr>
            <w:tcW w:w="1080" w:type="dxa"/>
            <w:tcBorders>
              <w:top w:val="single" w:sz="8"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-1,5</w:t>
            </w:r>
          </w:p>
        </w:tc>
      </w:tr>
      <w:tr w:rsidR="004F5497" w:rsidRPr="004F5497" w:rsidTr="004F5497">
        <w:trPr>
          <w:trHeight w:val="330"/>
        </w:trPr>
        <w:tc>
          <w:tcPr>
            <w:tcW w:w="1080" w:type="dxa"/>
            <w:tcBorders>
              <w:top w:val="nil"/>
              <w:left w:val="double" w:sz="6" w:space="0" w:color="auto"/>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8.</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3,73</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-1,25</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3,34</w:t>
            </w:r>
          </w:p>
        </w:tc>
        <w:tc>
          <w:tcPr>
            <w:tcW w:w="1080" w:type="dxa"/>
            <w:tcBorders>
              <w:top w:val="single" w:sz="8"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-1,25</w:t>
            </w:r>
          </w:p>
        </w:tc>
      </w:tr>
      <w:tr w:rsidR="004F5497" w:rsidRPr="004F5497" w:rsidTr="004F5497">
        <w:trPr>
          <w:trHeight w:val="330"/>
        </w:trPr>
        <w:tc>
          <w:tcPr>
            <w:tcW w:w="1080" w:type="dxa"/>
            <w:tcBorders>
              <w:top w:val="nil"/>
              <w:left w:val="double" w:sz="6" w:space="0" w:color="auto"/>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9.</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4,71</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4,43</w:t>
            </w:r>
          </w:p>
        </w:tc>
        <w:tc>
          <w:tcPr>
            <w:tcW w:w="1080" w:type="dxa"/>
            <w:tcBorders>
              <w:top w:val="single" w:sz="8"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w:t>
            </w:r>
          </w:p>
        </w:tc>
      </w:tr>
      <w:tr w:rsidR="004F5497" w:rsidRPr="004F5497" w:rsidTr="004F5497">
        <w:trPr>
          <w:trHeight w:val="330"/>
        </w:trPr>
        <w:tc>
          <w:tcPr>
            <w:tcW w:w="1080" w:type="dxa"/>
            <w:tcBorders>
              <w:top w:val="nil"/>
              <w:left w:val="double" w:sz="6" w:space="0" w:color="auto"/>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10.</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5,53</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-0,75</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5,52</w:t>
            </w:r>
          </w:p>
        </w:tc>
        <w:tc>
          <w:tcPr>
            <w:tcW w:w="1080" w:type="dxa"/>
            <w:tcBorders>
              <w:top w:val="single" w:sz="8"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-0,75</w:t>
            </w:r>
          </w:p>
        </w:tc>
      </w:tr>
      <w:tr w:rsidR="004F5497" w:rsidRPr="004F5497" w:rsidTr="004F5497">
        <w:trPr>
          <w:trHeight w:val="330"/>
        </w:trPr>
        <w:tc>
          <w:tcPr>
            <w:tcW w:w="1080" w:type="dxa"/>
            <w:tcBorders>
              <w:top w:val="nil"/>
              <w:left w:val="double" w:sz="6" w:space="0" w:color="auto"/>
              <w:bottom w:val="single" w:sz="8" w:space="0" w:color="auto"/>
              <w:right w:val="double" w:sz="6" w:space="0" w:color="auto"/>
            </w:tcBorders>
            <w:shd w:val="clear" w:color="auto" w:fill="auto"/>
            <w:hideMark/>
          </w:tcPr>
          <w:p w:rsidR="004F5497" w:rsidRPr="004F5497" w:rsidRDefault="004F5497" w:rsidP="004F5497">
            <w:pPr>
              <w:jc w:val="center"/>
              <w:rPr>
                <w:color w:val="000000"/>
              </w:rPr>
            </w:pPr>
            <w:r w:rsidRPr="004F5497">
              <w:rPr>
                <w:color w:val="000000"/>
              </w:rPr>
              <w:t>11.</w:t>
            </w:r>
          </w:p>
        </w:tc>
        <w:tc>
          <w:tcPr>
            <w:tcW w:w="1080" w:type="dxa"/>
            <w:tcBorders>
              <w:top w:val="single" w:sz="8" w:space="0" w:color="auto"/>
              <w:left w:val="nil"/>
              <w:bottom w:val="single" w:sz="8" w:space="0" w:color="auto"/>
              <w:right w:val="single" w:sz="8" w:space="0" w:color="auto"/>
            </w:tcBorders>
            <w:shd w:val="clear" w:color="auto" w:fill="auto"/>
            <w:hideMark/>
          </w:tcPr>
          <w:p w:rsidR="004F5497" w:rsidRPr="004F5497" w:rsidRDefault="004F5497" w:rsidP="004F5497">
            <w:pPr>
              <w:jc w:val="center"/>
              <w:rPr>
                <w:color w:val="000000"/>
              </w:rPr>
            </w:pPr>
            <w:r w:rsidRPr="004F5497">
              <w:rPr>
                <w:color w:val="000000"/>
              </w:rPr>
              <w:t>6,546</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-0,5</w:t>
            </w:r>
          </w:p>
        </w:tc>
        <w:tc>
          <w:tcPr>
            <w:tcW w:w="1080" w:type="dxa"/>
            <w:tcBorders>
              <w:top w:val="single" w:sz="8" w:space="0" w:color="auto"/>
              <w:left w:val="nil"/>
              <w:bottom w:val="single" w:sz="8" w:space="0" w:color="auto"/>
              <w:right w:val="single" w:sz="8" w:space="0" w:color="auto"/>
            </w:tcBorders>
            <w:shd w:val="clear" w:color="auto" w:fill="auto"/>
            <w:hideMark/>
          </w:tcPr>
          <w:p w:rsidR="004F5497" w:rsidRPr="004F5497" w:rsidRDefault="004F5497" w:rsidP="004F5497">
            <w:pPr>
              <w:jc w:val="center"/>
              <w:rPr>
                <w:color w:val="000000"/>
              </w:rPr>
            </w:pPr>
            <w:r w:rsidRPr="004F5497">
              <w:rPr>
                <w:color w:val="000000"/>
              </w:rPr>
              <w:t>6,33</w:t>
            </w:r>
          </w:p>
        </w:tc>
        <w:tc>
          <w:tcPr>
            <w:tcW w:w="1080" w:type="dxa"/>
            <w:tcBorders>
              <w:top w:val="single" w:sz="8"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-0,5</w:t>
            </w:r>
          </w:p>
        </w:tc>
      </w:tr>
      <w:tr w:rsidR="004F5497" w:rsidRPr="004F5497" w:rsidTr="004F5497">
        <w:trPr>
          <w:trHeight w:val="330"/>
        </w:trPr>
        <w:tc>
          <w:tcPr>
            <w:tcW w:w="1080" w:type="dxa"/>
            <w:tcBorders>
              <w:top w:val="nil"/>
              <w:left w:val="double" w:sz="6" w:space="0" w:color="auto"/>
              <w:bottom w:val="single" w:sz="8" w:space="0" w:color="auto"/>
              <w:right w:val="double" w:sz="6" w:space="0" w:color="auto"/>
            </w:tcBorders>
            <w:shd w:val="clear" w:color="auto" w:fill="auto"/>
            <w:hideMark/>
          </w:tcPr>
          <w:p w:rsidR="004F5497" w:rsidRPr="004F5497" w:rsidRDefault="004F5497" w:rsidP="004F5497">
            <w:pPr>
              <w:jc w:val="center"/>
              <w:rPr>
                <w:color w:val="000000"/>
              </w:rPr>
            </w:pPr>
            <w:r w:rsidRPr="004F5497">
              <w:rPr>
                <w:color w:val="000000"/>
              </w:rPr>
              <w:t>12.</w:t>
            </w:r>
          </w:p>
        </w:tc>
        <w:tc>
          <w:tcPr>
            <w:tcW w:w="1080" w:type="dxa"/>
            <w:tcBorders>
              <w:top w:val="single" w:sz="8" w:space="0" w:color="auto"/>
              <w:left w:val="nil"/>
              <w:bottom w:val="single" w:sz="8" w:space="0" w:color="auto"/>
              <w:right w:val="single" w:sz="8" w:space="0" w:color="auto"/>
            </w:tcBorders>
            <w:shd w:val="clear" w:color="auto" w:fill="auto"/>
            <w:hideMark/>
          </w:tcPr>
          <w:p w:rsidR="004F5497" w:rsidRPr="004F5497" w:rsidRDefault="004F5497" w:rsidP="004F5497">
            <w:pPr>
              <w:jc w:val="center"/>
              <w:rPr>
                <w:color w:val="000000"/>
              </w:rPr>
            </w:pPr>
            <w:r w:rsidRPr="004F5497">
              <w:rPr>
                <w:color w:val="000000"/>
              </w:rPr>
              <w:t>7,762</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-0,25</w:t>
            </w:r>
          </w:p>
        </w:tc>
        <w:tc>
          <w:tcPr>
            <w:tcW w:w="1080" w:type="dxa"/>
            <w:tcBorders>
              <w:top w:val="single" w:sz="8" w:space="0" w:color="auto"/>
              <w:left w:val="nil"/>
              <w:bottom w:val="single" w:sz="8" w:space="0" w:color="auto"/>
              <w:right w:val="single" w:sz="8" w:space="0" w:color="auto"/>
            </w:tcBorders>
            <w:shd w:val="clear" w:color="auto" w:fill="auto"/>
            <w:hideMark/>
          </w:tcPr>
          <w:p w:rsidR="004F5497" w:rsidRPr="004F5497" w:rsidRDefault="004F5497" w:rsidP="004F5497">
            <w:pPr>
              <w:jc w:val="center"/>
              <w:rPr>
                <w:color w:val="000000"/>
              </w:rPr>
            </w:pPr>
            <w:r w:rsidRPr="004F5497">
              <w:rPr>
                <w:color w:val="000000"/>
              </w:rPr>
              <w:t>7,17</w:t>
            </w:r>
          </w:p>
        </w:tc>
        <w:tc>
          <w:tcPr>
            <w:tcW w:w="1080" w:type="dxa"/>
            <w:tcBorders>
              <w:top w:val="single" w:sz="8" w:space="0" w:color="auto"/>
              <w:left w:val="nil"/>
              <w:bottom w:val="single" w:sz="8"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-0,25</w:t>
            </w:r>
          </w:p>
        </w:tc>
      </w:tr>
      <w:tr w:rsidR="004F5497" w:rsidRPr="004F5497" w:rsidTr="004F5497">
        <w:trPr>
          <w:trHeight w:val="330"/>
        </w:trPr>
        <w:tc>
          <w:tcPr>
            <w:tcW w:w="1080" w:type="dxa"/>
            <w:tcBorders>
              <w:top w:val="nil"/>
              <w:left w:val="double" w:sz="6" w:space="0" w:color="auto"/>
              <w:bottom w:val="double" w:sz="6" w:space="0" w:color="auto"/>
              <w:right w:val="double" w:sz="6" w:space="0" w:color="auto"/>
            </w:tcBorders>
            <w:shd w:val="clear" w:color="auto" w:fill="auto"/>
            <w:hideMark/>
          </w:tcPr>
          <w:p w:rsidR="004F5497" w:rsidRPr="004F5497" w:rsidRDefault="004F5497" w:rsidP="004F5497">
            <w:pPr>
              <w:jc w:val="center"/>
              <w:rPr>
                <w:color w:val="000000"/>
              </w:rPr>
            </w:pPr>
            <w:r w:rsidRPr="004F5497">
              <w:rPr>
                <w:color w:val="000000"/>
              </w:rPr>
              <w:t>13</w:t>
            </w:r>
          </w:p>
        </w:tc>
        <w:tc>
          <w:tcPr>
            <w:tcW w:w="1080" w:type="dxa"/>
            <w:tcBorders>
              <w:top w:val="single" w:sz="8" w:space="0" w:color="auto"/>
              <w:left w:val="nil"/>
              <w:bottom w:val="double" w:sz="6" w:space="0" w:color="auto"/>
              <w:right w:val="single" w:sz="8" w:space="0" w:color="auto"/>
            </w:tcBorders>
            <w:shd w:val="clear" w:color="auto" w:fill="auto"/>
            <w:hideMark/>
          </w:tcPr>
          <w:p w:rsidR="004F5497" w:rsidRPr="004F5497" w:rsidRDefault="004F5497" w:rsidP="004F5497">
            <w:pPr>
              <w:jc w:val="center"/>
              <w:rPr>
                <w:color w:val="000000"/>
              </w:rPr>
            </w:pPr>
            <w:r w:rsidRPr="004F5497">
              <w:rPr>
                <w:color w:val="000000"/>
              </w:rPr>
              <w:t>8,878</w:t>
            </w:r>
          </w:p>
        </w:tc>
        <w:tc>
          <w:tcPr>
            <w:tcW w:w="1080" w:type="dxa"/>
            <w:tcBorders>
              <w:top w:val="single" w:sz="8" w:space="0" w:color="auto"/>
              <w:left w:val="nil"/>
              <w:bottom w:val="double" w:sz="6" w:space="0" w:color="auto"/>
              <w:right w:val="single" w:sz="8"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w:t>
            </w:r>
          </w:p>
        </w:tc>
        <w:tc>
          <w:tcPr>
            <w:tcW w:w="1080" w:type="dxa"/>
            <w:tcBorders>
              <w:top w:val="single" w:sz="8" w:space="0" w:color="auto"/>
              <w:left w:val="nil"/>
              <w:bottom w:val="double" w:sz="6" w:space="0" w:color="auto"/>
              <w:right w:val="single" w:sz="8" w:space="0" w:color="auto"/>
            </w:tcBorders>
            <w:shd w:val="clear" w:color="auto" w:fill="auto"/>
            <w:hideMark/>
          </w:tcPr>
          <w:p w:rsidR="004F5497" w:rsidRPr="004F5497" w:rsidRDefault="004F5497" w:rsidP="004F5497">
            <w:pPr>
              <w:jc w:val="center"/>
              <w:rPr>
                <w:color w:val="000000"/>
              </w:rPr>
            </w:pPr>
            <w:r w:rsidRPr="004F5497">
              <w:rPr>
                <w:color w:val="000000"/>
              </w:rPr>
              <w:t>7,75</w:t>
            </w:r>
          </w:p>
        </w:tc>
        <w:tc>
          <w:tcPr>
            <w:tcW w:w="1080" w:type="dxa"/>
            <w:tcBorders>
              <w:top w:val="single" w:sz="8" w:space="0" w:color="auto"/>
              <w:left w:val="nil"/>
              <w:bottom w:val="double" w:sz="6" w:space="0" w:color="auto"/>
              <w:right w:val="double" w:sz="6" w:space="0" w:color="auto"/>
            </w:tcBorders>
            <w:shd w:val="clear" w:color="auto" w:fill="auto"/>
            <w:noWrap/>
            <w:vAlign w:val="bottom"/>
            <w:hideMark/>
          </w:tcPr>
          <w:p w:rsidR="004F5497" w:rsidRPr="004F5497" w:rsidRDefault="004F5497" w:rsidP="004F5497">
            <w:pPr>
              <w:jc w:val="center"/>
              <w:rPr>
                <w:color w:val="000000"/>
              </w:rPr>
            </w:pPr>
            <w:r w:rsidRPr="004F5497">
              <w:rPr>
                <w:color w:val="000000"/>
              </w:rPr>
              <w:t>0</w:t>
            </w:r>
          </w:p>
        </w:tc>
      </w:tr>
    </w:tbl>
    <w:p w:rsidR="00EE4ED1" w:rsidRDefault="00EE4ED1" w:rsidP="00EE4ED1">
      <w:pPr>
        <w:keepNext/>
      </w:pPr>
    </w:p>
    <w:p w:rsidR="000679A5" w:rsidRDefault="00EE4ED1" w:rsidP="00EE4ED1">
      <w:pPr>
        <w:keepNext/>
      </w:pPr>
      <w:r w:rsidRPr="00EE4ED1">
        <w:rPr>
          <w:noProof/>
        </w:rPr>
        <w:drawing>
          <wp:inline distT="0" distB="0" distL="0" distR="0">
            <wp:extent cx="5760720" cy="3024899"/>
            <wp:effectExtent l="19050" t="0" r="11430" b="4051"/>
            <wp:docPr id="3"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679A5" w:rsidRDefault="000679A5" w:rsidP="00EE4ED1">
      <w:pPr>
        <w:keepNext/>
      </w:pPr>
    </w:p>
    <w:p w:rsidR="000679A5" w:rsidRDefault="00E824CE" w:rsidP="00EE4ED1">
      <w:pPr>
        <w:keepNext/>
      </w:pPr>
      <w:r w:rsidRPr="00E824CE">
        <w:rPr>
          <w:noProof/>
        </w:rPr>
        <w:drawing>
          <wp:inline distT="0" distB="0" distL="0" distR="0">
            <wp:extent cx="5760720" cy="3024899"/>
            <wp:effectExtent l="19050" t="0" r="11430" b="4051"/>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C76A0" w:rsidRDefault="002C76A0" w:rsidP="00EE4ED1">
      <w:pPr>
        <w:keepNext/>
      </w:pPr>
    </w:p>
    <w:p w:rsidR="002C76A0" w:rsidRDefault="002C76A0" w:rsidP="00EE4ED1">
      <w:pPr>
        <w:keepNext/>
      </w:pPr>
    </w:p>
    <w:p w:rsidR="002C76A0" w:rsidRDefault="002C76A0" w:rsidP="002C76A0">
      <w:pPr>
        <w:pStyle w:val="Akapitzlist"/>
        <w:keepNext/>
        <w:numPr>
          <w:ilvl w:val="0"/>
          <w:numId w:val="3"/>
        </w:numPr>
      </w:pPr>
      <w:r>
        <w:t>Charakterystyka wyjściowa</w:t>
      </w:r>
    </w:p>
    <w:p w:rsidR="002C76A0" w:rsidRDefault="002C76A0" w:rsidP="002C76A0">
      <w:pPr>
        <w:pStyle w:val="Akapitzlist"/>
        <w:keepNext/>
        <w:ind w:left="1065"/>
      </w:pPr>
    </w:p>
    <w:tbl>
      <w:tblPr>
        <w:tblW w:w="9229" w:type="dxa"/>
        <w:tblInd w:w="55" w:type="dxa"/>
        <w:tblBorders>
          <w:top w:val="double" w:sz="6" w:space="0" w:color="auto"/>
          <w:left w:val="double" w:sz="6" w:space="0" w:color="auto"/>
          <w:bottom w:val="double" w:sz="6" w:space="0" w:color="auto"/>
          <w:right w:val="double" w:sz="6" w:space="0" w:color="auto"/>
          <w:insideH w:val="single" w:sz="8" w:space="0" w:color="auto"/>
          <w:insideV w:val="single" w:sz="8" w:space="0" w:color="auto"/>
        </w:tblBorders>
        <w:tblLayout w:type="fixed"/>
        <w:tblCellMar>
          <w:left w:w="70" w:type="dxa"/>
          <w:right w:w="70" w:type="dxa"/>
        </w:tblCellMar>
        <w:tblLook w:val="04A0"/>
      </w:tblPr>
      <w:tblGrid>
        <w:gridCol w:w="866"/>
        <w:gridCol w:w="775"/>
        <w:gridCol w:w="583"/>
        <w:gridCol w:w="584"/>
        <w:gridCol w:w="584"/>
        <w:gridCol w:w="583"/>
        <w:gridCol w:w="584"/>
        <w:gridCol w:w="584"/>
        <w:gridCol w:w="583"/>
        <w:gridCol w:w="584"/>
        <w:gridCol w:w="584"/>
        <w:gridCol w:w="583"/>
        <w:gridCol w:w="584"/>
        <w:gridCol w:w="584"/>
        <w:gridCol w:w="584"/>
      </w:tblGrid>
      <w:tr w:rsidR="0051402E" w:rsidRPr="0051402E" w:rsidTr="0051402E">
        <w:trPr>
          <w:trHeight w:val="285"/>
        </w:trPr>
        <w:tc>
          <w:tcPr>
            <w:tcW w:w="866" w:type="dxa"/>
            <w:tcBorders>
              <w:top w:val="double" w:sz="6" w:space="0" w:color="auto"/>
              <w:bottom w:val="double" w:sz="6" w:space="0" w:color="auto"/>
              <w:right w:val="double" w:sz="6" w:space="0" w:color="auto"/>
            </w:tcBorders>
            <w:shd w:val="clear" w:color="auto" w:fill="auto"/>
            <w:noWrap/>
            <w:vAlign w:val="bottom"/>
            <w:hideMark/>
          </w:tcPr>
          <w:p w:rsidR="0051402E" w:rsidRPr="0051402E" w:rsidRDefault="0051402E" w:rsidP="0051402E">
            <w:pPr>
              <w:rPr>
                <w:rFonts w:ascii="Arial" w:hAnsi="Arial" w:cs="Arial"/>
                <w:color w:val="000000"/>
              </w:rPr>
            </w:pPr>
            <w:r w:rsidRPr="0051402E">
              <w:rPr>
                <w:rFonts w:ascii="Arial" w:hAnsi="Arial" w:cs="Arial"/>
                <w:color w:val="000000"/>
                <w:sz w:val="22"/>
                <w:szCs w:val="22"/>
              </w:rPr>
              <w:t>U</w:t>
            </w:r>
            <w:r w:rsidRPr="0051402E">
              <w:rPr>
                <w:rFonts w:ascii="Arial" w:hAnsi="Arial" w:cs="Arial"/>
                <w:color w:val="000000"/>
                <w:sz w:val="12"/>
                <w:szCs w:val="16"/>
              </w:rPr>
              <w:t>GS</w:t>
            </w:r>
            <w:r w:rsidRPr="0051402E">
              <w:rPr>
                <w:rFonts w:ascii="Arial" w:hAnsi="Arial" w:cs="Arial"/>
                <w:color w:val="000000"/>
                <w:sz w:val="22"/>
                <w:szCs w:val="22"/>
              </w:rPr>
              <w:t>[V]</w:t>
            </w:r>
          </w:p>
        </w:tc>
        <w:tc>
          <w:tcPr>
            <w:tcW w:w="775" w:type="dxa"/>
            <w:tcBorders>
              <w:top w:val="double" w:sz="6" w:space="0" w:color="auto"/>
              <w:left w:val="double" w:sz="6" w:space="0" w:color="auto"/>
              <w:bottom w:val="double" w:sz="6" w:space="0" w:color="auto"/>
            </w:tcBorders>
            <w:shd w:val="clear" w:color="auto" w:fill="auto"/>
            <w:noWrap/>
            <w:vAlign w:val="bottom"/>
            <w:hideMark/>
          </w:tcPr>
          <w:p w:rsidR="0051402E" w:rsidRPr="0051402E" w:rsidRDefault="0051402E" w:rsidP="0051402E">
            <w:pPr>
              <w:jc w:val="center"/>
              <w:rPr>
                <w:rFonts w:ascii="Arial" w:hAnsi="Arial" w:cs="Arial"/>
                <w:color w:val="000000"/>
              </w:rPr>
            </w:pPr>
            <w:r w:rsidRPr="0051402E">
              <w:rPr>
                <w:rFonts w:ascii="Arial" w:hAnsi="Arial" w:cs="Arial"/>
                <w:color w:val="000000"/>
                <w:sz w:val="22"/>
                <w:szCs w:val="22"/>
              </w:rPr>
              <w:t>U</w:t>
            </w:r>
            <w:r w:rsidRPr="0051402E">
              <w:rPr>
                <w:rFonts w:ascii="Arial" w:hAnsi="Arial" w:cs="Arial"/>
                <w:color w:val="000000"/>
                <w:sz w:val="12"/>
                <w:szCs w:val="16"/>
              </w:rPr>
              <w:t>DS</w:t>
            </w:r>
            <w:r w:rsidRPr="0051402E">
              <w:rPr>
                <w:rFonts w:ascii="Arial" w:hAnsi="Arial" w:cs="Arial"/>
                <w:color w:val="000000"/>
                <w:sz w:val="22"/>
                <w:szCs w:val="16"/>
              </w:rPr>
              <w:t>[V]</w:t>
            </w:r>
          </w:p>
        </w:tc>
        <w:tc>
          <w:tcPr>
            <w:tcW w:w="583"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0,25</w:t>
            </w:r>
          </w:p>
        </w:tc>
        <w:tc>
          <w:tcPr>
            <w:tcW w:w="584"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0,54</w:t>
            </w:r>
          </w:p>
        </w:tc>
        <w:tc>
          <w:tcPr>
            <w:tcW w:w="584"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w:t>
            </w:r>
          </w:p>
        </w:tc>
        <w:tc>
          <w:tcPr>
            <w:tcW w:w="583"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1,54</w:t>
            </w:r>
          </w:p>
        </w:tc>
        <w:tc>
          <w:tcPr>
            <w:tcW w:w="584"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2</w:t>
            </w:r>
          </w:p>
        </w:tc>
        <w:tc>
          <w:tcPr>
            <w:tcW w:w="584"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3</w:t>
            </w:r>
          </w:p>
        </w:tc>
        <w:tc>
          <w:tcPr>
            <w:tcW w:w="583"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5</w:t>
            </w:r>
          </w:p>
        </w:tc>
        <w:tc>
          <w:tcPr>
            <w:tcW w:w="584"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7,5</w:t>
            </w:r>
          </w:p>
        </w:tc>
        <w:tc>
          <w:tcPr>
            <w:tcW w:w="584"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10</w:t>
            </w:r>
          </w:p>
        </w:tc>
        <w:tc>
          <w:tcPr>
            <w:tcW w:w="583"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13</w:t>
            </w:r>
          </w:p>
        </w:tc>
        <w:tc>
          <w:tcPr>
            <w:tcW w:w="584"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15</w:t>
            </w:r>
          </w:p>
        </w:tc>
        <w:tc>
          <w:tcPr>
            <w:tcW w:w="584"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17,5</w:t>
            </w:r>
          </w:p>
        </w:tc>
        <w:tc>
          <w:tcPr>
            <w:tcW w:w="584" w:type="dxa"/>
            <w:tcBorders>
              <w:top w:val="double" w:sz="6" w:space="0" w:color="auto"/>
              <w:bottom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20</w:t>
            </w:r>
          </w:p>
        </w:tc>
      </w:tr>
      <w:tr w:rsidR="0051402E" w:rsidRPr="0051402E" w:rsidTr="0051402E">
        <w:trPr>
          <w:trHeight w:val="285"/>
        </w:trPr>
        <w:tc>
          <w:tcPr>
            <w:tcW w:w="866" w:type="dxa"/>
            <w:tcBorders>
              <w:top w:val="double" w:sz="6" w:space="0" w:color="auto"/>
              <w:right w:val="double" w:sz="6" w:space="0" w:color="auto"/>
            </w:tcBorders>
            <w:shd w:val="clear" w:color="auto" w:fill="auto"/>
            <w:noWrap/>
            <w:vAlign w:val="bottom"/>
            <w:hideMark/>
          </w:tcPr>
          <w:p w:rsidR="0051402E" w:rsidRPr="0051402E" w:rsidRDefault="0051402E" w:rsidP="0051402E">
            <w:pPr>
              <w:jc w:val="center"/>
              <w:rPr>
                <w:rFonts w:ascii="Arial" w:hAnsi="Arial" w:cs="Arial"/>
                <w:color w:val="000000"/>
              </w:rPr>
            </w:pPr>
            <w:r w:rsidRPr="0051402E">
              <w:rPr>
                <w:rFonts w:ascii="Arial" w:hAnsi="Arial" w:cs="Arial"/>
                <w:color w:val="000000"/>
                <w:sz w:val="22"/>
                <w:szCs w:val="22"/>
              </w:rPr>
              <w:t>0</w:t>
            </w:r>
          </w:p>
        </w:tc>
        <w:tc>
          <w:tcPr>
            <w:tcW w:w="775" w:type="dxa"/>
            <w:tcBorders>
              <w:top w:val="double" w:sz="6" w:space="0" w:color="auto"/>
              <w:left w:val="double" w:sz="6" w:space="0" w:color="auto"/>
            </w:tcBorders>
            <w:shd w:val="clear" w:color="auto" w:fill="auto"/>
            <w:noWrap/>
            <w:vAlign w:val="bottom"/>
            <w:hideMark/>
          </w:tcPr>
          <w:p w:rsidR="0051402E" w:rsidRPr="0051402E" w:rsidRDefault="0051402E" w:rsidP="0051402E">
            <w:pPr>
              <w:jc w:val="center"/>
              <w:rPr>
                <w:rFonts w:ascii="Arial" w:hAnsi="Arial" w:cs="Arial"/>
                <w:color w:val="000000"/>
              </w:rPr>
            </w:pPr>
            <w:r w:rsidRPr="0051402E">
              <w:rPr>
                <w:rFonts w:ascii="Arial" w:hAnsi="Arial" w:cs="Arial"/>
                <w:color w:val="000000"/>
                <w:sz w:val="22"/>
                <w:szCs w:val="22"/>
              </w:rPr>
              <w:t>I</w:t>
            </w:r>
            <w:r w:rsidRPr="0051402E">
              <w:rPr>
                <w:rFonts w:ascii="Arial" w:hAnsi="Arial" w:cs="Arial"/>
                <w:color w:val="000000"/>
                <w:sz w:val="12"/>
                <w:szCs w:val="22"/>
              </w:rPr>
              <w:t>D</w:t>
            </w:r>
            <w:proofErr w:type="spellStart"/>
            <w:r w:rsidRPr="0051402E">
              <w:rPr>
                <w:rFonts w:ascii="Arial" w:hAnsi="Arial" w:cs="Arial"/>
                <w:color w:val="000000"/>
                <w:sz w:val="22"/>
                <w:szCs w:val="22"/>
              </w:rPr>
              <w:t>[m</w:t>
            </w:r>
            <w:proofErr w:type="spellEnd"/>
            <w:r w:rsidRPr="0051402E">
              <w:rPr>
                <w:rFonts w:ascii="Arial" w:hAnsi="Arial" w:cs="Arial"/>
                <w:color w:val="000000"/>
                <w:sz w:val="22"/>
                <w:szCs w:val="22"/>
              </w:rPr>
              <w:t>A]</w:t>
            </w:r>
          </w:p>
        </w:tc>
        <w:tc>
          <w:tcPr>
            <w:tcW w:w="583"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0,21</w:t>
            </w:r>
          </w:p>
        </w:tc>
        <w:tc>
          <w:tcPr>
            <w:tcW w:w="584"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0,46</w:t>
            </w:r>
          </w:p>
        </w:tc>
        <w:tc>
          <w:tcPr>
            <w:tcW w:w="584"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0,82</w:t>
            </w:r>
          </w:p>
        </w:tc>
        <w:tc>
          <w:tcPr>
            <w:tcW w:w="583"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1,33</w:t>
            </w:r>
          </w:p>
        </w:tc>
        <w:tc>
          <w:tcPr>
            <w:tcW w:w="584"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1,65</w:t>
            </w:r>
          </w:p>
        </w:tc>
        <w:tc>
          <w:tcPr>
            <w:tcW w:w="584"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2,52</w:t>
            </w:r>
          </w:p>
        </w:tc>
        <w:tc>
          <w:tcPr>
            <w:tcW w:w="583"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4,17</w:t>
            </w:r>
          </w:p>
        </w:tc>
        <w:tc>
          <w:tcPr>
            <w:tcW w:w="584"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6,15</w:t>
            </w:r>
          </w:p>
        </w:tc>
        <w:tc>
          <w:tcPr>
            <w:tcW w:w="584"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7,77</w:t>
            </w:r>
          </w:p>
        </w:tc>
        <w:tc>
          <w:tcPr>
            <w:tcW w:w="583"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8,6</w:t>
            </w:r>
          </w:p>
        </w:tc>
        <w:tc>
          <w:tcPr>
            <w:tcW w:w="584"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8,85</w:t>
            </w:r>
          </w:p>
        </w:tc>
        <w:tc>
          <w:tcPr>
            <w:tcW w:w="584"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8,89</w:t>
            </w:r>
          </w:p>
        </w:tc>
        <w:tc>
          <w:tcPr>
            <w:tcW w:w="584" w:type="dxa"/>
            <w:tcBorders>
              <w:top w:val="double" w:sz="6" w:space="0" w:color="auto"/>
            </w:tcBorders>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8,94</w:t>
            </w:r>
          </w:p>
        </w:tc>
      </w:tr>
      <w:tr w:rsidR="0051402E" w:rsidRPr="0051402E" w:rsidTr="0051402E">
        <w:trPr>
          <w:trHeight w:val="285"/>
        </w:trPr>
        <w:tc>
          <w:tcPr>
            <w:tcW w:w="866" w:type="dxa"/>
            <w:tcBorders>
              <w:right w:val="double" w:sz="6" w:space="0" w:color="auto"/>
            </w:tcBorders>
            <w:shd w:val="clear" w:color="auto" w:fill="auto"/>
            <w:noWrap/>
            <w:vAlign w:val="bottom"/>
            <w:hideMark/>
          </w:tcPr>
          <w:p w:rsidR="0051402E" w:rsidRPr="0051402E" w:rsidRDefault="0051402E" w:rsidP="0051402E">
            <w:pPr>
              <w:jc w:val="center"/>
              <w:rPr>
                <w:rFonts w:ascii="Arial" w:hAnsi="Arial" w:cs="Arial"/>
                <w:color w:val="000000"/>
              </w:rPr>
            </w:pPr>
            <w:r w:rsidRPr="0051402E">
              <w:rPr>
                <w:rFonts w:ascii="Arial" w:hAnsi="Arial" w:cs="Arial"/>
                <w:color w:val="000000"/>
                <w:sz w:val="22"/>
                <w:szCs w:val="22"/>
              </w:rPr>
              <w:t>1,2</w:t>
            </w:r>
          </w:p>
        </w:tc>
        <w:tc>
          <w:tcPr>
            <w:tcW w:w="775" w:type="dxa"/>
            <w:tcBorders>
              <w:left w:val="double" w:sz="6" w:space="0" w:color="auto"/>
            </w:tcBorders>
            <w:shd w:val="clear" w:color="auto" w:fill="auto"/>
            <w:noWrap/>
            <w:vAlign w:val="bottom"/>
            <w:hideMark/>
          </w:tcPr>
          <w:p w:rsidR="0051402E" w:rsidRPr="0051402E" w:rsidRDefault="0051402E" w:rsidP="0051402E">
            <w:pPr>
              <w:jc w:val="center"/>
              <w:rPr>
                <w:rFonts w:ascii="Arial" w:hAnsi="Arial" w:cs="Arial"/>
                <w:color w:val="000000"/>
              </w:rPr>
            </w:pPr>
            <w:r w:rsidRPr="0051402E">
              <w:rPr>
                <w:rFonts w:ascii="Arial" w:hAnsi="Arial" w:cs="Arial"/>
                <w:color w:val="000000"/>
                <w:sz w:val="22"/>
                <w:szCs w:val="22"/>
              </w:rPr>
              <w:t>I</w:t>
            </w:r>
            <w:r w:rsidRPr="0051402E">
              <w:rPr>
                <w:rFonts w:ascii="Arial" w:hAnsi="Arial" w:cs="Arial"/>
                <w:color w:val="000000"/>
                <w:sz w:val="12"/>
                <w:szCs w:val="22"/>
              </w:rPr>
              <w:t>D</w:t>
            </w:r>
            <w:proofErr w:type="spellStart"/>
            <w:r w:rsidRPr="0051402E">
              <w:rPr>
                <w:rFonts w:ascii="Arial" w:hAnsi="Arial" w:cs="Arial"/>
                <w:color w:val="000000"/>
                <w:sz w:val="22"/>
                <w:szCs w:val="22"/>
              </w:rPr>
              <w:t>[m</w:t>
            </w:r>
            <w:proofErr w:type="spellEnd"/>
            <w:r w:rsidRPr="0051402E">
              <w:rPr>
                <w:rFonts w:ascii="Arial" w:hAnsi="Arial" w:cs="Arial"/>
                <w:color w:val="000000"/>
                <w:sz w:val="22"/>
                <w:szCs w:val="22"/>
              </w:rPr>
              <w:t>A]</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0,18</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0,35</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0,7</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1,2</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1,4</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2,3</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3,35</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3,85</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4,5</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3,8</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3,98</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3,77</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3,7</w:t>
            </w:r>
          </w:p>
        </w:tc>
      </w:tr>
      <w:tr w:rsidR="0051402E" w:rsidRPr="0051402E" w:rsidTr="0051402E">
        <w:trPr>
          <w:trHeight w:val="285"/>
        </w:trPr>
        <w:tc>
          <w:tcPr>
            <w:tcW w:w="866" w:type="dxa"/>
            <w:tcBorders>
              <w:right w:val="double" w:sz="6" w:space="0" w:color="auto"/>
            </w:tcBorders>
            <w:shd w:val="clear" w:color="auto" w:fill="auto"/>
            <w:noWrap/>
            <w:vAlign w:val="bottom"/>
            <w:hideMark/>
          </w:tcPr>
          <w:p w:rsidR="0051402E" w:rsidRPr="0051402E" w:rsidRDefault="0051402E" w:rsidP="0051402E">
            <w:pPr>
              <w:jc w:val="center"/>
              <w:rPr>
                <w:rFonts w:ascii="Arial" w:hAnsi="Arial" w:cs="Arial"/>
                <w:color w:val="000000"/>
              </w:rPr>
            </w:pPr>
            <w:r w:rsidRPr="0051402E">
              <w:rPr>
                <w:rFonts w:ascii="Arial" w:hAnsi="Arial" w:cs="Arial"/>
                <w:color w:val="000000"/>
                <w:sz w:val="22"/>
                <w:szCs w:val="22"/>
              </w:rPr>
              <w:t>2</w:t>
            </w:r>
          </w:p>
        </w:tc>
        <w:tc>
          <w:tcPr>
            <w:tcW w:w="775" w:type="dxa"/>
            <w:tcBorders>
              <w:left w:val="double" w:sz="6" w:space="0" w:color="auto"/>
            </w:tcBorders>
            <w:shd w:val="clear" w:color="auto" w:fill="auto"/>
            <w:noWrap/>
            <w:vAlign w:val="bottom"/>
            <w:hideMark/>
          </w:tcPr>
          <w:p w:rsidR="0051402E" w:rsidRPr="0051402E" w:rsidRDefault="0051402E" w:rsidP="0051402E">
            <w:pPr>
              <w:jc w:val="center"/>
              <w:rPr>
                <w:rFonts w:ascii="Arial" w:hAnsi="Arial" w:cs="Arial"/>
                <w:color w:val="000000"/>
              </w:rPr>
            </w:pPr>
            <w:r w:rsidRPr="0051402E">
              <w:rPr>
                <w:rFonts w:ascii="Arial" w:hAnsi="Arial" w:cs="Arial"/>
                <w:color w:val="000000"/>
                <w:sz w:val="22"/>
                <w:szCs w:val="22"/>
              </w:rPr>
              <w:t>I</w:t>
            </w:r>
            <w:r w:rsidRPr="0051402E">
              <w:rPr>
                <w:rFonts w:ascii="Arial" w:hAnsi="Arial" w:cs="Arial"/>
                <w:color w:val="000000"/>
                <w:sz w:val="12"/>
                <w:szCs w:val="22"/>
              </w:rPr>
              <w:t>D</w:t>
            </w:r>
            <w:proofErr w:type="spellStart"/>
            <w:r w:rsidRPr="0051402E">
              <w:rPr>
                <w:rFonts w:ascii="Arial" w:hAnsi="Arial" w:cs="Arial"/>
                <w:color w:val="000000"/>
                <w:sz w:val="22"/>
                <w:szCs w:val="22"/>
              </w:rPr>
              <w:t>[m</w:t>
            </w:r>
            <w:proofErr w:type="spellEnd"/>
            <w:r w:rsidRPr="0051402E">
              <w:rPr>
                <w:rFonts w:ascii="Arial" w:hAnsi="Arial" w:cs="Arial"/>
                <w:color w:val="000000"/>
                <w:sz w:val="22"/>
                <w:szCs w:val="22"/>
              </w:rPr>
              <w:t>A]</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0,14</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0,3</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0,58</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0,78</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1,08</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1,18</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1,33</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1,45</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1,3</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1,4</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1,45</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1,58</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1,39</w:t>
            </w:r>
          </w:p>
        </w:tc>
      </w:tr>
      <w:tr w:rsidR="0051402E" w:rsidRPr="0051402E" w:rsidTr="0051402E">
        <w:trPr>
          <w:trHeight w:val="285"/>
        </w:trPr>
        <w:tc>
          <w:tcPr>
            <w:tcW w:w="866" w:type="dxa"/>
            <w:tcBorders>
              <w:bottom w:val="double" w:sz="6" w:space="0" w:color="auto"/>
              <w:right w:val="double" w:sz="6" w:space="0" w:color="auto"/>
            </w:tcBorders>
            <w:shd w:val="clear" w:color="auto" w:fill="auto"/>
            <w:noWrap/>
            <w:vAlign w:val="bottom"/>
            <w:hideMark/>
          </w:tcPr>
          <w:p w:rsidR="0051402E" w:rsidRPr="0051402E" w:rsidRDefault="0051402E" w:rsidP="0051402E">
            <w:pPr>
              <w:jc w:val="center"/>
              <w:rPr>
                <w:rFonts w:ascii="Arial" w:hAnsi="Arial" w:cs="Arial"/>
                <w:color w:val="000000"/>
              </w:rPr>
            </w:pPr>
            <w:r w:rsidRPr="0051402E">
              <w:rPr>
                <w:rFonts w:ascii="Arial" w:hAnsi="Arial" w:cs="Arial"/>
                <w:color w:val="000000"/>
                <w:sz w:val="22"/>
                <w:szCs w:val="22"/>
              </w:rPr>
              <w:t>2,5</w:t>
            </w:r>
          </w:p>
        </w:tc>
        <w:tc>
          <w:tcPr>
            <w:tcW w:w="775" w:type="dxa"/>
            <w:tcBorders>
              <w:left w:val="double" w:sz="6" w:space="0" w:color="auto"/>
            </w:tcBorders>
            <w:shd w:val="clear" w:color="auto" w:fill="auto"/>
            <w:noWrap/>
            <w:vAlign w:val="bottom"/>
            <w:hideMark/>
          </w:tcPr>
          <w:p w:rsidR="0051402E" w:rsidRPr="0051402E" w:rsidRDefault="0051402E" w:rsidP="0051402E">
            <w:pPr>
              <w:jc w:val="center"/>
              <w:rPr>
                <w:rFonts w:ascii="Arial" w:hAnsi="Arial" w:cs="Arial"/>
                <w:color w:val="000000"/>
              </w:rPr>
            </w:pPr>
            <w:r w:rsidRPr="0051402E">
              <w:rPr>
                <w:rFonts w:ascii="Arial" w:hAnsi="Arial" w:cs="Arial"/>
                <w:color w:val="000000"/>
                <w:sz w:val="22"/>
                <w:szCs w:val="22"/>
              </w:rPr>
              <w:t>I</w:t>
            </w:r>
            <w:r w:rsidRPr="0051402E">
              <w:rPr>
                <w:rFonts w:ascii="Arial" w:hAnsi="Arial" w:cs="Arial"/>
                <w:color w:val="000000"/>
                <w:sz w:val="12"/>
                <w:szCs w:val="22"/>
              </w:rPr>
              <w:t>D</w:t>
            </w:r>
            <w:proofErr w:type="spellStart"/>
            <w:r w:rsidRPr="0051402E">
              <w:rPr>
                <w:rFonts w:ascii="Arial" w:hAnsi="Arial" w:cs="Arial"/>
                <w:color w:val="000000"/>
                <w:sz w:val="22"/>
                <w:szCs w:val="22"/>
              </w:rPr>
              <w:t>[m</w:t>
            </w:r>
            <w:proofErr w:type="spellEnd"/>
            <w:r w:rsidRPr="0051402E">
              <w:rPr>
                <w:rFonts w:ascii="Arial" w:hAnsi="Arial" w:cs="Arial"/>
                <w:color w:val="000000"/>
                <w:sz w:val="22"/>
                <w:szCs w:val="22"/>
              </w:rPr>
              <w:t>A]</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0,09</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0,19</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0,28</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0,33</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0,36</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0,38</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0,49</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0,35</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0,42</w:t>
            </w:r>
          </w:p>
        </w:tc>
        <w:tc>
          <w:tcPr>
            <w:tcW w:w="583"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0,4</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0,48</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0,43</w:t>
            </w:r>
          </w:p>
        </w:tc>
        <w:tc>
          <w:tcPr>
            <w:tcW w:w="584" w:type="dxa"/>
            <w:shd w:val="clear" w:color="auto" w:fill="auto"/>
            <w:noWrap/>
            <w:vAlign w:val="bottom"/>
            <w:hideMark/>
          </w:tcPr>
          <w:p w:rsidR="0051402E" w:rsidRDefault="0051402E">
            <w:pPr>
              <w:jc w:val="right"/>
              <w:rPr>
                <w:rFonts w:ascii="Arial" w:hAnsi="Arial" w:cs="Arial"/>
                <w:color w:val="000000"/>
              </w:rPr>
            </w:pPr>
            <w:r>
              <w:rPr>
                <w:rFonts w:ascii="Arial" w:hAnsi="Arial" w:cs="Arial"/>
                <w:color w:val="000000"/>
                <w:sz w:val="22"/>
                <w:szCs w:val="22"/>
              </w:rPr>
              <w:t>0,45</w:t>
            </w:r>
          </w:p>
        </w:tc>
      </w:tr>
    </w:tbl>
    <w:p w:rsidR="0051402E" w:rsidRDefault="00152187" w:rsidP="00B34902">
      <w:pPr>
        <w:pStyle w:val="Akapitzlist"/>
        <w:keepNext/>
        <w:ind w:left="0"/>
      </w:pPr>
      <w:r w:rsidRPr="00152187">
        <w:rPr>
          <w:noProof/>
        </w:rPr>
        <w:lastRenderedPageBreak/>
        <w:drawing>
          <wp:inline distT="0" distB="0" distL="0" distR="0">
            <wp:extent cx="6513195" cy="3648075"/>
            <wp:effectExtent l="19050" t="0" r="20955" b="0"/>
            <wp:docPr id="5"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34902" w:rsidRDefault="00B34902" w:rsidP="00B34902">
      <w:pPr>
        <w:pStyle w:val="Akapitzlist"/>
        <w:keepNext/>
        <w:ind w:left="0"/>
      </w:pPr>
    </w:p>
    <w:p w:rsidR="00B34902" w:rsidRDefault="00B34902" w:rsidP="00B34902">
      <w:pPr>
        <w:pStyle w:val="Akapitzlist"/>
        <w:keepNext/>
        <w:ind w:left="0"/>
      </w:pPr>
    </w:p>
    <w:p w:rsidR="00FD1403" w:rsidRDefault="00FD1403" w:rsidP="00FD1403">
      <w:pPr>
        <w:jc w:val="both"/>
        <w:rPr>
          <w:sz w:val="28"/>
        </w:rPr>
      </w:pPr>
      <w:r>
        <w:rPr>
          <w:sz w:val="28"/>
        </w:rPr>
        <w:t xml:space="preserve">    </w:t>
      </w:r>
      <w:r w:rsidRPr="006671A5">
        <w:t>z charakterystyki przejściowej możemy wyznaczyć :</w:t>
      </w:r>
    </w:p>
    <w:p w:rsidR="00FD1403" w:rsidRDefault="00FD1403" w:rsidP="00FD1403">
      <w:pPr>
        <w:jc w:val="both"/>
        <w:rPr>
          <w:sz w:val="28"/>
        </w:rPr>
      </w:pPr>
    </w:p>
    <w:p w:rsidR="00FD1403" w:rsidRDefault="00FD1403" w:rsidP="00FD1403">
      <w:pPr>
        <w:jc w:val="both"/>
        <w:rPr>
          <w:sz w:val="28"/>
        </w:rPr>
      </w:pPr>
      <w:r w:rsidRPr="002E1C8B">
        <w:rPr>
          <w:position w:val="-16"/>
          <w:sz w:val="28"/>
        </w:rPr>
        <w:object w:dxaOrig="170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28.5pt" o:ole="" fillcolor="window">
            <v:imagedata r:id="rId11" o:title=""/>
          </v:shape>
          <o:OLEObject Type="Embed" ProgID="Equation.3" ShapeID="_x0000_i1025" DrawAspect="Content" ObjectID="_1327949217" r:id="rId12"/>
        </w:object>
      </w:r>
    </w:p>
    <w:p w:rsidR="00FD1403" w:rsidRDefault="00FD1403" w:rsidP="00FD1403">
      <w:pPr>
        <w:jc w:val="both"/>
        <w:rPr>
          <w:i/>
          <w:sz w:val="28"/>
          <w:u w:val="single"/>
        </w:rPr>
      </w:pPr>
      <w:r w:rsidRPr="002E1C8B">
        <w:rPr>
          <w:position w:val="-16"/>
          <w:sz w:val="28"/>
        </w:rPr>
        <w:object w:dxaOrig="1880" w:dyaOrig="440">
          <v:shape id="_x0000_i1026" type="#_x0000_t75" style="width:108pt;height:28.5pt" o:ole="" fillcolor="window">
            <v:imagedata r:id="rId13" o:title=""/>
          </v:shape>
          <o:OLEObject Type="Embed" ProgID="Equation.3" ShapeID="_x0000_i1026" DrawAspect="Content" ObjectID="_1327949218" r:id="rId14"/>
        </w:object>
      </w:r>
    </w:p>
    <w:p w:rsidR="00FD1403" w:rsidRDefault="00FD1403" w:rsidP="00FD1403">
      <w:pPr>
        <w:jc w:val="both"/>
        <w:rPr>
          <w:i/>
          <w:sz w:val="28"/>
          <w:u w:val="single"/>
        </w:rPr>
      </w:pPr>
    </w:p>
    <w:p w:rsidR="00FD1403" w:rsidRPr="006671A5" w:rsidRDefault="00FD1403" w:rsidP="00FD1403">
      <w:pPr>
        <w:ind w:firstLine="708"/>
        <w:jc w:val="both"/>
      </w:pPr>
      <w:r w:rsidRPr="006671A5">
        <w:t>Dla wybranego punktu pracy zaznaczam przyrosty skończone po czym obliczam konduktancję przejściową :</w:t>
      </w:r>
    </w:p>
    <w:p w:rsidR="00FD1403" w:rsidRDefault="00FD1403" w:rsidP="00FD1403">
      <w:pPr>
        <w:jc w:val="both"/>
        <w:rPr>
          <w:sz w:val="28"/>
        </w:rPr>
      </w:pPr>
    </w:p>
    <w:p w:rsidR="00FD1403" w:rsidRPr="004F618A" w:rsidRDefault="00FD1403" w:rsidP="00FD1403">
      <w:pPr>
        <w:ind w:left="708" w:firstLine="708"/>
        <w:jc w:val="both"/>
      </w:pPr>
      <w:r w:rsidRPr="004F618A">
        <w:rPr>
          <w:rFonts w:ascii="Symbol" w:hAnsi="Symbol"/>
        </w:rPr>
        <w:t></w:t>
      </w:r>
      <w:r w:rsidRPr="004F618A">
        <w:rPr>
          <w:rFonts w:ascii="Symbol" w:hAnsi="Symbol"/>
        </w:rPr>
        <w:t></w:t>
      </w:r>
      <w:r w:rsidRPr="004F618A">
        <w:rPr>
          <w:vertAlign w:val="subscript"/>
        </w:rPr>
        <w:t xml:space="preserve">D    </w:t>
      </w:r>
      <w:r w:rsidRPr="004F618A">
        <w:t xml:space="preserve">=    </w:t>
      </w:r>
      <w:r w:rsidR="004F618A">
        <w:t>8,87</w:t>
      </w:r>
      <w:r w:rsidRPr="004F618A">
        <w:t xml:space="preserve"> </w:t>
      </w:r>
      <w:proofErr w:type="spellStart"/>
      <w:r w:rsidRPr="004F618A">
        <w:t>mA</w:t>
      </w:r>
      <w:proofErr w:type="spellEnd"/>
    </w:p>
    <w:p w:rsidR="00FD1403" w:rsidRPr="004F618A" w:rsidRDefault="00FD1403" w:rsidP="00FD1403">
      <w:pPr>
        <w:ind w:left="708" w:firstLine="708"/>
        <w:jc w:val="both"/>
      </w:pPr>
      <w:r w:rsidRPr="004F618A">
        <w:rPr>
          <w:rFonts w:ascii="Symbol" w:hAnsi="Symbol"/>
        </w:rPr>
        <w:t></w:t>
      </w:r>
      <w:r w:rsidRPr="004F618A">
        <w:t>U</w:t>
      </w:r>
      <w:r w:rsidRPr="004F618A">
        <w:rPr>
          <w:vertAlign w:val="subscript"/>
        </w:rPr>
        <w:t>GS</w:t>
      </w:r>
      <w:r w:rsidRPr="004F618A">
        <w:t xml:space="preserve">=   </w:t>
      </w:r>
      <w:r w:rsidR="004F618A">
        <w:t>3</w:t>
      </w:r>
      <w:r w:rsidRPr="004F618A">
        <w:t xml:space="preserve"> V</w:t>
      </w:r>
    </w:p>
    <w:p w:rsidR="00FD1403" w:rsidRDefault="00FD1403" w:rsidP="00FD1403">
      <w:pPr>
        <w:jc w:val="both"/>
        <w:rPr>
          <w:i/>
          <w:sz w:val="28"/>
          <w:u w:val="single"/>
        </w:rPr>
      </w:pPr>
    </w:p>
    <w:p w:rsidR="00FD1403" w:rsidRDefault="004F618A" w:rsidP="00FD1403">
      <w:pPr>
        <w:ind w:left="708" w:firstLine="708"/>
        <w:jc w:val="both"/>
        <w:rPr>
          <w:sz w:val="28"/>
        </w:rPr>
      </w:pPr>
      <w:r w:rsidRPr="002E1C8B">
        <w:rPr>
          <w:position w:val="-30"/>
          <w:sz w:val="28"/>
        </w:rPr>
        <w:object w:dxaOrig="3460" w:dyaOrig="700">
          <v:shape id="_x0000_i1027" type="#_x0000_t75" style="width:172.5pt;height:35.25pt" o:ole="" fillcolor="window">
            <v:imagedata r:id="rId15" o:title=""/>
          </v:shape>
          <o:OLEObject Type="Embed" ProgID="Equation.3" ShapeID="_x0000_i1027" DrawAspect="Content" ObjectID="_1327949219" r:id="rId16"/>
        </w:object>
      </w:r>
    </w:p>
    <w:p w:rsidR="00FD1403" w:rsidRPr="006671A5" w:rsidRDefault="00FD1403" w:rsidP="00FD1403">
      <w:pPr>
        <w:jc w:val="both"/>
      </w:pPr>
      <w:r w:rsidRPr="006671A5">
        <w:t xml:space="preserve">Z wykresu odczytuję </w:t>
      </w:r>
      <w:proofErr w:type="spellStart"/>
      <w:r w:rsidRPr="006671A5">
        <w:t>U</w:t>
      </w:r>
      <w:r w:rsidRPr="006671A5">
        <w:rPr>
          <w:sz w:val="14"/>
        </w:rPr>
        <w:t>p</w:t>
      </w:r>
      <w:proofErr w:type="spellEnd"/>
      <w:r w:rsidRPr="006671A5">
        <w:rPr>
          <w:sz w:val="14"/>
        </w:rPr>
        <w:t xml:space="preserve"> </w:t>
      </w:r>
      <w:r w:rsidRPr="006671A5">
        <w:t>:</w:t>
      </w:r>
    </w:p>
    <w:p w:rsidR="00FD1403" w:rsidRDefault="00FD1403" w:rsidP="00FD1403">
      <w:pPr>
        <w:jc w:val="both"/>
        <w:rPr>
          <w:sz w:val="28"/>
        </w:rPr>
      </w:pPr>
    </w:p>
    <w:p w:rsidR="00FD1403" w:rsidRPr="006671A5" w:rsidRDefault="00FD1403" w:rsidP="00FD1403">
      <w:pPr>
        <w:ind w:left="2124" w:firstLine="708"/>
        <w:jc w:val="both"/>
        <w:rPr>
          <w:i/>
          <w:u w:val="single"/>
        </w:rPr>
      </w:pPr>
      <w:r w:rsidRPr="006671A5">
        <w:t>U</w:t>
      </w:r>
      <w:r w:rsidRPr="006671A5">
        <w:rPr>
          <w:vertAlign w:val="subscript"/>
        </w:rPr>
        <w:t>P</w:t>
      </w:r>
      <w:r w:rsidR="004F618A">
        <w:t>= 3,0</w:t>
      </w:r>
      <w:r w:rsidRPr="006671A5">
        <w:t xml:space="preserve"> V</w:t>
      </w:r>
    </w:p>
    <w:p w:rsidR="00FD1403" w:rsidRDefault="00FD1403" w:rsidP="00FD1403">
      <w:pPr>
        <w:ind w:firstLine="708"/>
        <w:jc w:val="both"/>
        <w:rPr>
          <w:sz w:val="28"/>
        </w:rPr>
      </w:pPr>
    </w:p>
    <w:p w:rsidR="00FD1403" w:rsidRPr="006671A5" w:rsidRDefault="00FD1403" w:rsidP="00FD1403">
      <w:pPr>
        <w:ind w:firstLine="708"/>
        <w:jc w:val="both"/>
      </w:pPr>
      <w:r w:rsidRPr="006671A5">
        <w:t>Konduktancję kanału otwartego (dla U</w:t>
      </w:r>
      <w:r w:rsidRPr="006671A5">
        <w:rPr>
          <w:vertAlign w:val="subscript"/>
        </w:rPr>
        <w:t>GS</w:t>
      </w:r>
      <w:r w:rsidRPr="006671A5">
        <w:t xml:space="preserve">=0) możemy wyznaczyć z charakterystyki wyjściowej jako nachylenie stycznej do wykresu dla małych przyrostów </w:t>
      </w:r>
      <w:r w:rsidRPr="006671A5">
        <w:rPr>
          <w:rFonts w:ascii="Symbol" w:hAnsi="Symbol"/>
        </w:rPr>
        <w:t></w:t>
      </w:r>
      <w:proofErr w:type="spellStart"/>
      <w:r w:rsidRPr="006671A5">
        <w:t>I</w:t>
      </w:r>
      <w:r w:rsidRPr="006671A5">
        <w:rPr>
          <w:vertAlign w:val="subscript"/>
        </w:rPr>
        <w:t>p</w:t>
      </w:r>
      <w:proofErr w:type="spellEnd"/>
      <w:r w:rsidRPr="006671A5">
        <w:t xml:space="preserve"> oraz </w:t>
      </w:r>
      <w:r w:rsidRPr="006671A5">
        <w:rPr>
          <w:rFonts w:ascii="Symbol" w:hAnsi="Symbol"/>
        </w:rPr>
        <w:t></w:t>
      </w:r>
      <w:r w:rsidRPr="006671A5">
        <w:t>U</w:t>
      </w:r>
      <w:r w:rsidRPr="006671A5">
        <w:rPr>
          <w:vertAlign w:val="subscript"/>
        </w:rPr>
        <w:t>DS</w:t>
      </w:r>
      <w:r w:rsidRPr="006671A5">
        <w:t>.</w:t>
      </w:r>
    </w:p>
    <w:p w:rsidR="00FD1403" w:rsidRDefault="00FD1403" w:rsidP="00FD1403">
      <w:pPr>
        <w:jc w:val="both"/>
        <w:rPr>
          <w:sz w:val="28"/>
        </w:rPr>
      </w:pPr>
    </w:p>
    <w:p w:rsidR="00FD1403" w:rsidRDefault="00BC02F5" w:rsidP="00FD1403">
      <w:pPr>
        <w:ind w:left="708" w:firstLine="708"/>
        <w:jc w:val="both"/>
        <w:rPr>
          <w:sz w:val="28"/>
        </w:rPr>
      </w:pPr>
      <w:r w:rsidRPr="002E1C8B">
        <w:rPr>
          <w:position w:val="-30"/>
          <w:sz w:val="28"/>
        </w:rPr>
        <w:object w:dxaOrig="3159" w:dyaOrig="680">
          <v:shape id="_x0000_i1028" type="#_x0000_t75" style="width:185.25pt;height:33.75pt" o:ole="" fillcolor="window">
            <v:imagedata r:id="rId17" o:title=""/>
          </v:shape>
          <o:OLEObject Type="Embed" ProgID="Equation.3" ShapeID="_x0000_i1028" DrawAspect="Content" ObjectID="_1327949220" r:id="rId18"/>
        </w:object>
      </w:r>
    </w:p>
    <w:p w:rsidR="00FD1403" w:rsidRDefault="00FD1403" w:rsidP="003C2631">
      <w:pPr>
        <w:pStyle w:val="Tekstpodstawowy"/>
        <w:rPr>
          <w:sz w:val="32"/>
          <w:szCs w:val="24"/>
        </w:rPr>
      </w:pPr>
    </w:p>
    <w:p w:rsidR="003C2631" w:rsidRPr="003C2631" w:rsidRDefault="003C2631" w:rsidP="003C2631">
      <w:pPr>
        <w:pStyle w:val="Tekstpodstawowy"/>
        <w:rPr>
          <w:sz w:val="32"/>
          <w:szCs w:val="24"/>
        </w:rPr>
      </w:pPr>
      <w:r w:rsidRPr="003C2631">
        <w:rPr>
          <w:sz w:val="32"/>
          <w:szCs w:val="24"/>
        </w:rPr>
        <w:lastRenderedPageBreak/>
        <w:t>Wnioski :</w:t>
      </w:r>
    </w:p>
    <w:p w:rsidR="003C2631" w:rsidRPr="003C2631" w:rsidRDefault="003C2631" w:rsidP="003C2631">
      <w:pPr>
        <w:pStyle w:val="Tekstpodstawowy"/>
        <w:rPr>
          <w:sz w:val="24"/>
          <w:szCs w:val="24"/>
        </w:rPr>
      </w:pPr>
      <w:r w:rsidRPr="003C2631">
        <w:rPr>
          <w:sz w:val="24"/>
          <w:szCs w:val="24"/>
        </w:rPr>
        <w:tab/>
      </w:r>
    </w:p>
    <w:p w:rsidR="003C2631" w:rsidRPr="003C2631" w:rsidRDefault="003C2631" w:rsidP="003C2631">
      <w:pPr>
        <w:jc w:val="both"/>
      </w:pPr>
      <w:r w:rsidRPr="003C2631">
        <w:tab/>
        <w:t>Z charakterystyk wyjściowych widać , że dla małych wartości U</w:t>
      </w:r>
      <w:r w:rsidRPr="003C2631">
        <w:rPr>
          <w:vertAlign w:val="subscript"/>
        </w:rPr>
        <w:t>DS</w:t>
      </w:r>
      <w:r w:rsidRPr="003C2631">
        <w:t xml:space="preserve"> (kiedy szerokość kanału jest zdeterminowana praktycznie tylko napięciem bramki) są one prostoliniowe , tranzystor zachowuje się jak rezystor o rezystancji sterowanej napięciem bramki. W miarę wzrostu prądu ID spadek napięcia wywołany przepływem tego prądu dodaje się do napięcia </w:t>
      </w:r>
      <w:r w:rsidR="00347C59">
        <w:t>p</w:t>
      </w:r>
      <w:r w:rsidRPr="003C2631">
        <w:t>olaryzującego złącze GS w kierunku zaporowym (następuje nasycenie prądu).</w:t>
      </w:r>
    </w:p>
    <w:p w:rsidR="00347C59" w:rsidRDefault="00347C59" w:rsidP="00347C59">
      <w:pPr>
        <w:ind w:firstLine="708"/>
        <w:jc w:val="both"/>
      </w:pPr>
    </w:p>
    <w:p w:rsidR="003C2631" w:rsidRPr="00347C59" w:rsidRDefault="003C2631" w:rsidP="00347C59">
      <w:pPr>
        <w:ind w:firstLine="708"/>
        <w:jc w:val="both"/>
        <w:rPr>
          <w:sz w:val="22"/>
        </w:rPr>
      </w:pPr>
      <w:r w:rsidRPr="00347C59">
        <w:rPr>
          <w:sz w:val="22"/>
        </w:rPr>
        <w:t xml:space="preserve"> </w:t>
      </w:r>
      <w:r w:rsidR="00347C59" w:rsidRPr="00347C59">
        <w:t>Z wyznaczonych charakterystyk przejściowej i wyjściowej tranzystora BF 245 wyznaczyliśmy następujące parametry: I</w:t>
      </w:r>
      <w:r w:rsidR="00347C59" w:rsidRPr="00347C59">
        <w:rPr>
          <w:vertAlign w:val="subscript"/>
        </w:rPr>
        <w:t>DSS</w:t>
      </w:r>
      <w:r w:rsidR="006671A5">
        <w:t>=4</w:t>
      </w:r>
      <w:r w:rsidR="00347C59" w:rsidRPr="00347C59">
        <w:t>mA , g</w:t>
      </w:r>
      <w:r w:rsidR="00347C59" w:rsidRPr="00347C59">
        <w:rPr>
          <w:vertAlign w:val="subscript"/>
        </w:rPr>
        <w:t>m</w:t>
      </w:r>
      <w:r w:rsidR="00347C59" w:rsidRPr="00347C59">
        <w:t>=0,002</w:t>
      </w:r>
      <w:r w:rsidR="004F618A">
        <w:t>9</w:t>
      </w:r>
      <w:r w:rsidR="00347C59" w:rsidRPr="00347C59">
        <w:t xml:space="preserve"> 1/</w:t>
      </w:r>
      <w:proofErr w:type="spellStart"/>
      <w:r w:rsidR="00347C59" w:rsidRPr="00347C59">
        <w:rPr>
          <w:rFonts w:ascii="Symbol" w:hAnsi="Symbol"/>
        </w:rPr>
        <w:t></w:t>
      </w:r>
      <w:r w:rsidR="00347C59" w:rsidRPr="00347C59">
        <w:rPr>
          <w:rFonts w:ascii="Symbol" w:hAnsi="Symbol"/>
        </w:rPr>
        <w:t></w:t>
      </w:r>
      <w:proofErr w:type="spellEnd"/>
      <w:r w:rsidR="00347C59" w:rsidRPr="00347C59">
        <w:t xml:space="preserve"> U</w:t>
      </w:r>
      <w:r w:rsidR="00347C59" w:rsidRPr="00347C59">
        <w:rPr>
          <w:vertAlign w:val="subscript"/>
        </w:rPr>
        <w:t>P</w:t>
      </w:r>
      <w:r w:rsidR="006671A5">
        <w:t>=3,4</w:t>
      </w:r>
      <w:r w:rsidR="00347C59" w:rsidRPr="00347C59">
        <w:t>V, G</w:t>
      </w:r>
      <w:r w:rsidR="00347C59" w:rsidRPr="00347C59">
        <w:rPr>
          <w:vertAlign w:val="subscript"/>
        </w:rPr>
        <w:t>DSO</w:t>
      </w:r>
      <w:r w:rsidR="003E5A39">
        <w:t>=0,000</w:t>
      </w:r>
      <w:r w:rsidR="00347C59" w:rsidRPr="00347C59">
        <w:t>8 1/</w:t>
      </w:r>
      <w:r w:rsidR="00347C59" w:rsidRPr="00347C59">
        <w:rPr>
          <w:rFonts w:ascii="Symbol" w:hAnsi="Symbol"/>
        </w:rPr>
        <w:t></w:t>
      </w:r>
      <w:r w:rsidR="002E1C8B">
        <w:rPr>
          <w:noProof/>
          <w:sz w:val="22"/>
        </w:rPr>
        <w:pict>
          <v:shape id="_x0000_s1026" type="#_x0000_t75" style="position:absolute;left:0;text-align:left;margin-left:0;margin-top:0;width:9pt;height:17pt;z-index:251660288;mso-position-horizontal-relative:text;mso-position-vertical-relative:text" o:allowincell="f">
            <v:imagedata r:id="rId19" o:title=""/>
            <w10:wrap type="topAndBottom"/>
          </v:shape>
          <o:OLEObject Type="Embed" ProgID="Equation.3" ShapeID="_x0000_s1026" DrawAspect="Content" ObjectID="_1327949221" r:id="rId20"/>
        </w:pict>
      </w:r>
    </w:p>
    <w:p w:rsidR="00B34902" w:rsidRPr="003C2631" w:rsidRDefault="00B34902" w:rsidP="00B34902">
      <w:pPr>
        <w:pStyle w:val="Akapitzlist"/>
        <w:keepNext/>
        <w:ind w:left="0"/>
      </w:pPr>
    </w:p>
    <w:sectPr w:rsidR="00B34902" w:rsidRPr="003C2631" w:rsidSect="007E76C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32DA6"/>
    <w:multiLevelType w:val="hybridMultilevel"/>
    <w:tmpl w:val="A8C63BD6"/>
    <w:lvl w:ilvl="0" w:tplc="04150017">
      <w:start w:val="1"/>
      <w:numFmt w:val="lowerLetter"/>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
    <w:nsid w:val="22B81B49"/>
    <w:multiLevelType w:val="hybridMultilevel"/>
    <w:tmpl w:val="C994CD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5246C14"/>
    <w:multiLevelType w:val="hybridMultilevel"/>
    <w:tmpl w:val="2D1AC80C"/>
    <w:lvl w:ilvl="0" w:tplc="3318AE6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310BA"/>
    <w:rsid w:val="000679A5"/>
    <w:rsid w:val="00152187"/>
    <w:rsid w:val="002C76A0"/>
    <w:rsid w:val="002E1C8B"/>
    <w:rsid w:val="00347C59"/>
    <w:rsid w:val="003C2631"/>
    <w:rsid w:val="003E5A39"/>
    <w:rsid w:val="004F5497"/>
    <w:rsid w:val="004F618A"/>
    <w:rsid w:val="0051402E"/>
    <w:rsid w:val="005310BA"/>
    <w:rsid w:val="005B2E26"/>
    <w:rsid w:val="006671A5"/>
    <w:rsid w:val="00787900"/>
    <w:rsid w:val="007E76C3"/>
    <w:rsid w:val="00A50BF0"/>
    <w:rsid w:val="00B34902"/>
    <w:rsid w:val="00BC02F5"/>
    <w:rsid w:val="00E824CE"/>
    <w:rsid w:val="00EE4ED1"/>
    <w:rsid w:val="00FD140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310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310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5310BA"/>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semiHidden/>
    <w:unhideWhenUsed/>
    <w:qFormat/>
    <w:rsid w:val="005310B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5310B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5310BA"/>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310BA"/>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5310BA"/>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5310BA"/>
    <w:rPr>
      <w:rFonts w:asciiTheme="majorHAnsi" w:eastAsiaTheme="majorEastAsia" w:hAnsiTheme="majorHAnsi" w:cstheme="majorBidi"/>
      <w:b/>
      <w:bCs/>
      <w:color w:val="4F81BD" w:themeColor="accent1"/>
      <w:sz w:val="24"/>
      <w:szCs w:val="24"/>
      <w:lang w:eastAsia="pl-PL"/>
    </w:rPr>
  </w:style>
  <w:style w:type="character" w:customStyle="1" w:styleId="Nagwek4Znak">
    <w:name w:val="Nagłówek 4 Znak"/>
    <w:basedOn w:val="Domylnaczcionkaakapitu"/>
    <w:link w:val="Nagwek4"/>
    <w:uiPriority w:val="9"/>
    <w:semiHidden/>
    <w:rsid w:val="005310BA"/>
    <w:rPr>
      <w:rFonts w:asciiTheme="majorHAnsi" w:eastAsiaTheme="majorEastAsia" w:hAnsiTheme="majorHAnsi" w:cstheme="majorBidi"/>
      <w:b/>
      <w:bCs/>
      <w:i/>
      <w:iCs/>
      <w:color w:val="4F81BD" w:themeColor="accent1"/>
      <w:sz w:val="24"/>
      <w:szCs w:val="24"/>
      <w:lang w:eastAsia="pl-PL"/>
    </w:rPr>
  </w:style>
  <w:style w:type="character" w:customStyle="1" w:styleId="Nagwek5Znak">
    <w:name w:val="Nagłówek 5 Znak"/>
    <w:basedOn w:val="Domylnaczcionkaakapitu"/>
    <w:link w:val="Nagwek5"/>
    <w:uiPriority w:val="9"/>
    <w:semiHidden/>
    <w:rsid w:val="005310BA"/>
    <w:rPr>
      <w:rFonts w:asciiTheme="majorHAnsi" w:eastAsiaTheme="majorEastAsia" w:hAnsiTheme="majorHAnsi" w:cstheme="majorBidi"/>
      <w:color w:val="243F60" w:themeColor="accent1" w:themeShade="7F"/>
      <w:sz w:val="24"/>
      <w:szCs w:val="24"/>
      <w:lang w:eastAsia="pl-PL"/>
    </w:rPr>
  </w:style>
  <w:style w:type="paragraph" w:styleId="Tekstdymka">
    <w:name w:val="Balloon Text"/>
    <w:basedOn w:val="Normalny"/>
    <w:link w:val="TekstdymkaZnak"/>
    <w:uiPriority w:val="99"/>
    <w:semiHidden/>
    <w:unhideWhenUsed/>
    <w:rsid w:val="005310BA"/>
    <w:rPr>
      <w:rFonts w:ascii="Tahoma" w:hAnsi="Tahoma" w:cs="Tahoma"/>
      <w:sz w:val="16"/>
      <w:szCs w:val="16"/>
    </w:rPr>
  </w:style>
  <w:style w:type="character" w:customStyle="1" w:styleId="TekstdymkaZnak">
    <w:name w:val="Tekst dymka Znak"/>
    <w:basedOn w:val="Domylnaczcionkaakapitu"/>
    <w:link w:val="Tekstdymka"/>
    <w:uiPriority w:val="99"/>
    <w:semiHidden/>
    <w:rsid w:val="005310BA"/>
    <w:rPr>
      <w:rFonts w:ascii="Tahoma" w:eastAsia="Times New Roman" w:hAnsi="Tahoma" w:cs="Tahoma"/>
      <w:sz w:val="16"/>
      <w:szCs w:val="16"/>
      <w:lang w:eastAsia="pl-PL"/>
    </w:rPr>
  </w:style>
  <w:style w:type="paragraph" w:styleId="Legenda">
    <w:name w:val="caption"/>
    <w:basedOn w:val="Normalny"/>
    <w:next w:val="Normalny"/>
    <w:uiPriority w:val="35"/>
    <w:unhideWhenUsed/>
    <w:qFormat/>
    <w:rsid w:val="00EE4ED1"/>
    <w:pPr>
      <w:spacing w:after="200"/>
    </w:pPr>
    <w:rPr>
      <w:b/>
      <w:bCs/>
      <w:color w:val="4F81BD" w:themeColor="accent1"/>
      <w:sz w:val="18"/>
      <w:szCs w:val="18"/>
    </w:rPr>
  </w:style>
  <w:style w:type="paragraph" w:styleId="Akapitzlist">
    <w:name w:val="List Paragraph"/>
    <w:basedOn w:val="Normalny"/>
    <w:uiPriority w:val="34"/>
    <w:qFormat/>
    <w:rsid w:val="000679A5"/>
    <w:pPr>
      <w:ind w:left="720"/>
      <w:contextualSpacing/>
    </w:pPr>
  </w:style>
  <w:style w:type="paragraph" w:styleId="Tekstpodstawowy">
    <w:name w:val="Body Text"/>
    <w:basedOn w:val="Normalny"/>
    <w:link w:val="TekstpodstawowyZnak"/>
    <w:semiHidden/>
    <w:rsid w:val="003C2631"/>
    <w:pPr>
      <w:jc w:val="both"/>
    </w:pPr>
    <w:rPr>
      <w:sz w:val="28"/>
      <w:szCs w:val="20"/>
    </w:rPr>
  </w:style>
  <w:style w:type="character" w:customStyle="1" w:styleId="TekstpodstawowyZnak">
    <w:name w:val="Tekst podstawowy Znak"/>
    <w:basedOn w:val="Domylnaczcionkaakapitu"/>
    <w:link w:val="Tekstpodstawowy"/>
    <w:semiHidden/>
    <w:rsid w:val="003C2631"/>
    <w:rPr>
      <w:rFonts w:ascii="Times New Roman" w:eastAsia="Times New Roman" w:hAnsi="Times New Roman" w:cs="Times New Roman"/>
      <w:sz w:val="28"/>
      <w:szCs w:val="20"/>
      <w:lang w:eastAsia="pl-PL"/>
    </w:rPr>
  </w:style>
</w:styles>
</file>

<file path=word/webSettings.xml><?xml version="1.0" encoding="utf-8"?>
<w:webSettings xmlns:r="http://schemas.openxmlformats.org/officeDocument/2006/relationships" xmlns:w="http://schemas.openxmlformats.org/wordprocessingml/2006/main">
  <w:divs>
    <w:div w:id="639310748">
      <w:bodyDiv w:val="1"/>
      <w:marLeft w:val="0"/>
      <w:marRight w:val="0"/>
      <w:marTop w:val="0"/>
      <w:marBottom w:val="0"/>
      <w:divBdr>
        <w:top w:val="none" w:sz="0" w:space="0" w:color="auto"/>
        <w:left w:val="none" w:sz="0" w:space="0" w:color="auto"/>
        <w:bottom w:val="none" w:sz="0" w:space="0" w:color="auto"/>
        <w:right w:val="none" w:sz="0" w:space="0" w:color="auto"/>
      </w:divBdr>
    </w:div>
    <w:div w:id="1097555645">
      <w:bodyDiv w:val="1"/>
      <w:marLeft w:val="0"/>
      <w:marRight w:val="0"/>
      <w:marTop w:val="0"/>
      <w:marBottom w:val="0"/>
      <w:divBdr>
        <w:top w:val="none" w:sz="0" w:space="0" w:color="auto"/>
        <w:left w:val="none" w:sz="0" w:space="0" w:color="auto"/>
        <w:bottom w:val="none" w:sz="0" w:space="0" w:color="auto"/>
        <w:right w:val="none" w:sz="0" w:space="0" w:color="auto"/>
      </w:divBdr>
    </w:div>
    <w:div w:id="1749569522">
      <w:bodyDiv w:val="1"/>
      <w:marLeft w:val="0"/>
      <w:marRight w:val="0"/>
      <w:marTop w:val="0"/>
      <w:marBottom w:val="0"/>
      <w:divBdr>
        <w:top w:val="none" w:sz="0" w:space="0" w:color="auto"/>
        <w:left w:val="none" w:sz="0" w:space="0" w:color="auto"/>
        <w:bottom w:val="none" w:sz="0" w:space="0" w:color="auto"/>
        <w:right w:val="none" w:sz="0" w:space="0" w:color="auto"/>
      </w:divBdr>
    </w:div>
    <w:div w:id="211782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oleObject" Target="embeddings/oleObject1.bin"/><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chart" Target="charts/chart3.xm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oleObject" Target="embeddings/oleObject2.bin"/><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style val="1"/>
  <c:chart>
    <c:title>
      <c:tx>
        <c:rich>
          <a:bodyPr/>
          <a:lstStyle/>
          <a:p>
            <a:pPr>
              <a:defRPr/>
            </a:pPr>
            <a:r>
              <a:rPr lang="pl-PL" sz="1200"/>
              <a:t>Wykres</a:t>
            </a:r>
            <a:r>
              <a:rPr lang="pl-PL" sz="1200" baseline="0"/>
              <a:t> charakterystyki przejściowej U</a:t>
            </a:r>
            <a:r>
              <a:rPr lang="pl-PL" sz="800" baseline="0"/>
              <a:t>DS</a:t>
            </a:r>
            <a:r>
              <a:rPr lang="pl-PL" sz="1200" baseline="0"/>
              <a:t>=20V</a:t>
            </a:r>
            <a:endParaRPr lang="en-US" sz="1200"/>
          </a:p>
        </c:rich>
      </c:tx>
    </c:title>
    <c:plotArea>
      <c:layout/>
      <c:scatterChart>
        <c:scatterStyle val="smoothMarker"/>
        <c:ser>
          <c:idx val="0"/>
          <c:order val="0"/>
          <c:tx>
            <c:strRef>
              <c:f>Arkusz1!$E$8:$E$20</c:f>
              <c:strCache>
                <c:ptCount val="1"/>
                <c:pt idx="0">
                  <c:v>-3 -2,75 -2,5 -2,25 -2 -1,75 -1,5 -1,25 -1 -0,75 -0,5 -0,25 0</c:v>
                </c:pt>
              </c:strCache>
            </c:strRef>
          </c:tx>
          <c:marker>
            <c:symbol val="none"/>
          </c:marker>
          <c:xVal>
            <c:numRef>
              <c:f>Arkusz1!$E$8:$E$20</c:f>
              <c:numCache>
                <c:formatCode>General</c:formatCode>
                <c:ptCount val="13"/>
                <c:pt idx="0">
                  <c:v>-3</c:v>
                </c:pt>
                <c:pt idx="1">
                  <c:v>-2.75</c:v>
                </c:pt>
                <c:pt idx="2">
                  <c:v>-2.5</c:v>
                </c:pt>
                <c:pt idx="3">
                  <c:v>-2.25</c:v>
                </c:pt>
                <c:pt idx="4">
                  <c:v>-2</c:v>
                </c:pt>
                <c:pt idx="5">
                  <c:v>-1.7500000000000002</c:v>
                </c:pt>
                <c:pt idx="6">
                  <c:v>-1.5</c:v>
                </c:pt>
                <c:pt idx="7">
                  <c:v>-1.25</c:v>
                </c:pt>
                <c:pt idx="8">
                  <c:v>-1</c:v>
                </c:pt>
                <c:pt idx="9">
                  <c:v>-0.75000000000000033</c:v>
                </c:pt>
                <c:pt idx="10">
                  <c:v>-0.5</c:v>
                </c:pt>
                <c:pt idx="11">
                  <c:v>-0.25</c:v>
                </c:pt>
                <c:pt idx="12">
                  <c:v>0</c:v>
                </c:pt>
              </c:numCache>
            </c:numRef>
          </c:xVal>
          <c:yVal>
            <c:numRef>
              <c:f>Arkusz1!$D$8:$D$20</c:f>
              <c:numCache>
                <c:formatCode>General</c:formatCode>
                <c:ptCount val="13"/>
                <c:pt idx="0">
                  <c:v>6.0000000000000036E-3</c:v>
                </c:pt>
                <c:pt idx="1">
                  <c:v>0.13100000000000001</c:v>
                </c:pt>
                <c:pt idx="2">
                  <c:v>0.40700000000000008</c:v>
                </c:pt>
                <c:pt idx="3">
                  <c:v>0.85000000000000031</c:v>
                </c:pt>
                <c:pt idx="4">
                  <c:v>1.4489999999999994</c:v>
                </c:pt>
                <c:pt idx="5">
                  <c:v>2.266</c:v>
                </c:pt>
                <c:pt idx="6">
                  <c:v>2.82</c:v>
                </c:pt>
                <c:pt idx="7">
                  <c:v>3.73</c:v>
                </c:pt>
                <c:pt idx="8">
                  <c:v>4.71</c:v>
                </c:pt>
                <c:pt idx="9">
                  <c:v>5.53</c:v>
                </c:pt>
                <c:pt idx="10">
                  <c:v>6.5460000000000003</c:v>
                </c:pt>
                <c:pt idx="11">
                  <c:v>7.7619999999999996</c:v>
                </c:pt>
                <c:pt idx="12">
                  <c:v>8.8780000000000001</c:v>
                </c:pt>
              </c:numCache>
            </c:numRef>
          </c:yVal>
          <c:smooth val="1"/>
        </c:ser>
        <c:axId val="146898944"/>
        <c:axId val="146900864"/>
      </c:scatterChart>
      <c:valAx>
        <c:axId val="146898944"/>
        <c:scaling>
          <c:orientation val="minMax"/>
        </c:scaling>
        <c:axPos val="b"/>
        <c:minorGridlines/>
        <c:title>
          <c:tx>
            <c:rich>
              <a:bodyPr/>
              <a:lstStyle/>
              <a:p>
                <a:pPr>
                  <a:defRPr/>
                </a:pPr>
                <a:r>
                  <a:rPr lang="pl-PL"/>
                  <a:t>Ugs[V]</a:t>
                </a:r>
              </a:p>
            </c:rich>
          </c:tx>
        </c:title>
        <c:numFmt formatCode="General" sourceLinked="1"/>
        <c:majorTickMark val="none"/>
        <c:tickLblPos val="nextTo"/>
        <c:crossAx val="146900864"/>
        <c:crosses val="autoZero"/>
        <c:crossBetween val="midCat"/>
      </c:valAx>
      <c:valAx>
        <c:axId val="146900864"/>
        <c:scaling>
          <c:orientation val="minMax"/>
        </c:scaling>
        <c:axPos val="l"/>
        <c:majorGridlines/>
        <c:title>
          <c:tx>
            <c:rich>
              <a:bodyPr rot="5400000" vert="horz" anchor="b" anchorCtr="1"/>
              <a:lstStyle/>
              <a:p>
                <a:pPr>
                  <a:defRPr/>
                </a:pPr>
                <a:r>
                  <a:rPr lang="pl-PL"/>
                  <a:t>Id[mA]</a:t>
                </a:r>
              </a:p>
            </c:rich>
          </c:tx>
          <c:layout>
            <c:manualLayout>
              <c:xMode val="edge"/>
              <c:yMode val="edge"/>
              <c:x val="0.96560846560846603"/>
              <c:y val="0.37370239469152522"/>
            </c:manualLayout>
          </c:layout>
        </c:title>
        <c:numFmt formatCode="General" sourceLinked="1"/>
        <c:majorTickMark val="none"/>
        <c:tickLblPos val="nextTo"/>
        <c:spPr>
          <a:ln>
            <a:solidFill>
              <a:srgbClr val="4F81BD"/>
            </a:solidFill>
          </a:ln>
        </c:spPr>
        <c:crossAx val="146898944"/>
        <c:crosses val="autoZero"/>
        <c:crossBetween val="midCat"/>
      </c:valAx>
      <c:spPr>
        <a:ln cap="flat">
          <a:bevel/>
        </a:ln>
      </c:spPr>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style val="1"/>
  <c:chart>
    <c:title>
      <c:tx>
        <c:rich>
          <a:bodyPr/>
          <a:lstStyle/>
          <a:p>
            <a:pPr>
              <a:defRPr sz="1200"/>
            </a:pPr>
            <a:r>
              <a:rPr lang="pl-PL" sz="1200"/>
              <a:t>Wykres</a:t>
            </a:r>
            <a:r>
              <a:rPr lang="pl-PL" sz="1200" baseline="0"/>
              <a:t> charakterystyki przejściowej U</a:t>
            </a:r>
            <a:r>
              <a:rPr lang="pl-PL" sz="800" baseline="0"/>
              <a:t>DS</a:t>
            </a:r>
            <a:r>
              <a:rPr lang="pl-PL" sz="1200" baseline="0"/>
              <a:t>=10V </a:t>
            </a:r>
            <a:endParaRPr lang="en-US" sz="1200" baseline="0"/>
          </a:p>
        </c:rich>
      </c:tx>
    </c:title>
    <c:plotArea>
      <c:layout/>
      <c:scatterChart>
        <c:scatterStyle val="smoothMarker"/>
        <c:ser>
          <c:idx val="1"/>
          <c:order val="0"/>
          <c:marker>
            <c:symbol val="none"/>
          </c:marker>
          <c:xVal>
            <c:numRef>
              <c:f>Arkusz1!$G$8:$G$20</c:f>
              <c:numCache>
                <c:formatCode>General</c:formatCode>
                <c:ptCount val="13"/>
                <c:pt idx="0">
                  <c:v>-3</c:v>
                </c:pt>
                <c:pt idx="1">
                  <c:v>-2.75</c:v>
                </c:pt>
                <c:pt idx="2">
                  <c:v>-2.5</c:v>
                </c:pt>
                <c:pt idx="3">
                  <c:v>-2.25</c:v>
                </c:pt>
                <c:pt idx="4">
                  <c:v>-2</c:v>
                </c:pt>
                <c:pt idx="5">
                  <c:v>-1.75</c:v>
                </c:pt>
                <c:pt idx="6">
                  <c:v>-1.5</c:v>
                </c:pt>
                <c:pt idx="7">
                  <c:v>-1.25</c:v>
                </c:pt>
                <c:pt idx="8">
                  <c:v>-1</c:v>
                </c:pt>
                <c:pt idx="9">
                  <c:v>-0.75000000000000033</c:v>
                </c:pt>
                <c:pt idx="10">
                  <c:v>-0.5</c:v>
                </c:pt>
                <c:pt idx="11">
                  <c:v>-0.25</c:v>
                </c:pt>
                <c:pt idx="12">
                  <c:v>0</c:v>
                </c:pt>
              </c:numCache>
            </c:numRef>
          </c:xVal>
          <c:yVal>
            <c:numRef>
              <c:f>Arkusz1!$F$8:$F$20</c:f>
              <c:numCache>
                <c:formatCode>General</c:formatCode>
                <c:ptCount val="13"/>
                <c:pt idx="0">
                  <c:v>1.2E-2</c:v>
                </c:pt>
                <c:pt idx="1">
                  <c:v>0.114</c:v>
                </c:pt>
                <c:pt idx="2">
                  <c:v>0.36000000000000015</c:v>
                </c:pt>
                <c:pt idx="3">
                  <c:v>0.82000000000000028</c:v>
                </c:pt>
                <c:pt idx="4">
                  <c:v>1.4</c:v>
                </c:pt>
                <c:pt idx="5">
                  <c:v>2.08</c:v>
                </c:pt>
                <c:pt idx="6">
                  <c:v>2.7770000000000001</c:v>
                </c:pt>
                <c:pt idx="7">
                  <c:v>3.34</c:v>
                </c:pt>
                <c:pt idx="8">
                  <c:v>4.4300000000000024</c:v>
                </c:pt>
                <c:pt idx="9">
                  <c:v>5.52</c:v>
                </c:pt>
                <c:pt idx="10">
                  <c:v>6.33</c:v>
                </c:pt>
                <c:pt idx="11">
                  <c:v>7.17</c:v>
                </c:pt>
                <c:pt idx="12">
                  <c:v>7.75</c:v>
                </c:pt>
              </c:numCache>
            </c:numRef>
          </c:yVal>
          <c:smooth val="1"/>
        </c:ser>
        <c:axId val="146920960"/>
        <c:axId val="146922880"/>
      </c:scatterChart>
      <c:valAx>
        <c:axId val="146920960"/>
        <c:scaling>
          <c:orientation val="minMax"/>
        </c:scaling>
        <c:axPos val="b"/>
        <c:minorGridlines/>
        <c:title>
          <c:tx>
            <c:rich>
              <a:bodyPr/>
              <a:lstStyle/>
              <a:p>
                <a:pPr>
                  <a:defRPr/>
                </a:pPr>
                <a:r>
                  <a:rPr lang="pl-PL"/>
                  <a:t>Ugs[V]</a:t>
                </a:r>
              </a:p>
            </c:rich>
          </c:tx>
        </c:title>
        <c:numFmt formatCode="General" sourceLinked="1"/>
        <c:majorTickMark val="none"/>
        <c:tickLblPos val="nextTo"/>
        <c:crossAx val="146922880"/>
        <c:crosses val="autoZero"/>
        <c:crossBetween val="midCat"/>
      </c:valAx>
      <c:valAx>
        <c:axId val="146922880"/>
        <c:scaling>
          <c:orientation val="minMax"/>
        </c:scaling>
        <c:axPos val="l"/>
        <c:majorGridlines/>
        <c:title>
          <c:tx>
            <c:rich>
              <a:bodyPr rot="5400000" vert="horz" anchor="b" anchorCtr="1"/>
              <a:lstStyle/>
              <a:p>
                <a:pPr>
                  <a:defRPr/>
                </a:pPr>
                <a:r>
                  <a:rPr lang="pl-PL"/>
                  <a:t>Id[mA]</a:t>
                </a:r>
              </a:p>
            </c:rich>
          </c:tx>
          <c:layout>
            <c:manualLayout>
              <c:xMode val="edge"/>
              <c:yMode val="edge"/>
              <c:x val="0.9656084656084668"/>
              <c:y val="0.37370239469152522"/>
            </c:manualLayout>
          </c:layout>
        </c:title>
        <c:numFmt formatCode="General" sourceLinked="1"/>
        <c:majorTickMark val="none"/>
        <c:tickLblPos val="nextTo"/>
        <c:spPr>
          <a:ln>
            <a:solidFill>
              <a:srgbClr val="4F81BD"/>
            </a:solidFill>
          </a:ln>
        </c:spPr>
        <c:crossAx val="146920960"/>
        <c:crosses val="autoZero"/>
        <c:crossBetween val="midCat"/>
      </c:valAx>
      <c:spPr>
        <a:ln cap="flat">
          <a:bevel/>
        </a:ln>
      </c:spPr>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pPr>
            <a:r>
              <a:rPr lang="pl-PL"/>
              <a:t>Charaktery</a:t>
            </a:r>
            <a:r>
              <a:rPr lang="pl-PL" baseline="0"/>
              <a:t>styka wyjściowa</a:t>
            </a:r>
            <a:endParaRPr lang="pl-PL"/>
          </a:p>
        </c:rich>
      </c:tx>
    </c:title>
    <c:plotArea>
      <c:layout/>
      <c:scatterChart>
        <c:scatterStyle val="smoothMarker"/>
        <c:ser>
          <c:idx val="0"/>
          <c:order val="0"/>
          <c:tx>
            <c:v>Ugs=0V</c:v>
          </c:tx>
          <c:spPr>
            <a:ln>
              <a:solidFill>
                <a:schemeClr val="tx1">
                  <a:lumMod val="95000"/>
                  <a:lumOff val="5000"/>
                </a:schemeClr>
              </a:solidFill>
            </a:ln>
          </c:spPr>
          <c:marker>
            <c:symbol val="none"/>
          </c:marker>
          <c:xVal>
            <c:numRef>
              <c:f>Arkusz2!$C$1:$O$1</c:f>
              <c:numCache>
                <c:formatCode>General</c:formatCode>
                <c:ptCount val="13"/>
                <c:pt idx="0">
                  <c:v>0.25</c:v>
                </c:pt>
                <c:pt idx="1">
                  <c:v>0.54</c:v>
                </c:pt>
                <c:pt idx="2">
                  <c:v>1</c:v>
                </c:pt>
                <c:pt idx="3">
                  <c:v>1.54</c:v>
                </c:pt>
                <c:pt idx="4">
                  <c:v>2</c:v>
                </c:pt>
                <c:pt idx="5">
                  <c:v>3</c:v>
                </c:pt>
                <c:pt idx="6">
                  <c:v>5</c:v>
                </c:pt>
                <c:pt idx="7">
                  <c:v>7.5</c:v>
                </c:pt>
                <c:pt idx="8">
                  <c:v>10</c:v>
                </c:pt>
                <c:pt idx="9">
                  <c:v>12.5</c:v>
                </c:pt>
                <c:pt idx="10">
                  <c:v>15</c:v>
                </c:pt>
                <c:pt idx="11">
                  <c:v>17.5</c:v>
                </c:pt>
                <c:pt idx="12">
                  <c:v>20</c:v>
                </c:pt>
              </c:numCache>
            </c:numRef>
          </c:xVal>
          <c:yVal>
            <c:numRef>
              <c:f>Arkusz2!$C$2:$O$2</c:f>
              <c:numCache>
                <c:formatCode>General</c:formatCode>
                <c:ptCount val="13"/>
                <c:pt idx="0">
                  <c:v>0.21000000000000008</c:v>
                </c:pt>
                <c:pt idx="1">
                  <c:v>0.46</c:v>
                </c:pt>
                <c:pt idx="2">
                  <c:v>0.82000000000000028</c:v>
                </c:pt>
                <c:pt idx="3">
                  <c:v>1.33</c:v>
                </c:pt>
                <c:pt idx="4">
                  <c:v>1.6500000000000001</c:v>
                </c:pt>
                <c:pt idx="5">
                  <c:v>2.52</c:v>
                </c:pt>
                <c:pt idx="6">
                  <c:v>4.17</c:v>
                </c:pt>
                <c:pt idx="7">
                  <c:v>6.1499999999999995</c:v>
                </c:pt>
                <c:pt idx="8">
                  <c:v>7.7700000000000014</c:v>
                </c:pt>
                <c:pt idx="9">
                  <c:v>8.61</c:v>
                </c:pt>
                <c:pt idx="10">
                  <c:v>8.850000000000005</c:v>
                </c:pt>
                <c:pt idx="11">
                  <c:v>8.89</c:v>
                </c:pt>
                <c:pt idx="12">
                  <c:v>8.94</c:v>
                </c:pt>
              </c:numCache>
            </c:numRef>
          </c:yVal>
          <c:smooth val="1"/>
        </c:ser>
        <c:ser>
          <c:idx val="1"/>
          <c:order val="1"/>
          <c:tx>
            <c:v>Ugs=1,2V</c:v>
          </c:tx>
          <c:spPr>
            <a:ln>
              <a:solidFill>
                <a:schemeClr val="tx1">
                  <a:lumMod val="50000"/>
                  <a:lumOff val="50000"/>
                </a:schemeClr>
              </a:solidFill>
            </a:ln>
          </c:spPr>
          <c:marker>
            <c:symbol val="none"/>
          </c:marker>
          <c:xVal>
            <c:numRef>
              <c:f>Arkusz2!$C$1:$O$1</c:f>
              <c:numCache>
                <c:formatCode>General</c:formatCode>
                <c:ptCount val="13"/>
                <c:pt idx="0">
                  <c:v>0.25</c:v>
                </c:pt>
                <c:pt idx="1">
                  <c:v>0.54</c:v>
                </c:pt>
                <c:pt idx="2">
                  <c:v>1</c:v>
                </c:pt>
                <c:pt idx="3">
                  <c:v>1.54</c:v>
                </c:pt>
                <c:pt idx="4">
                  <c:v>2</c:v>
                </c:pt>
                <c:pt idx="5">
                  <c:v>3</c:v>
                </c:pt>
                <c:pt idx="6">
                  <c:v>5</c:v>
                </c:pt>
                <c:pt idx="7">
                  <c:v>7.5</c:v>
                </c:pt>
                <c:pt idx="8">
                  <c:v>10</c:v>
                </c:pt>
                <c:pt idx="9">
                  <c:v>12.5</c:v>
                </c:pt>
                <c:pt idx="10">
                  <c:v>15</c:v>
                </c:pt>
                <c:pt idx="11">
                  <c:v>17.5</c:v>
                </c:pt>
                <c:pt idx="12">
                  <c:v>20</c:v>
                </c:pt>
              </c:numCache>
            </c:numRef>
          </c:xVal>
          <c:yVal>
            <c:numRef>
              <c:f>Arkusz2!$C$3:$O$3</c:f>
              <c:numCache>
                <c:formatCode>General</c:formatCode>
                <c:ptCount val="13"/>
                <c:pt idx="0">
                  <c:v>0.18000000000000008</c:v>
                </c:pt>
                <c:pt idx="1">
                  <c:v>0.35000000000000014</c:v>
                </c:pt>
                <c:pt idx="2">
                  <c:v>0.70000000000000029</c:v>
                </c:pt>
                <c:pt idx="3">
                  <c:v>1.2</c:v>
                </c:pt>
                <c:pt idx="4">
                  <c:v>1.4</c:v>
                </c:pt>
                <c:pt idx="5">
                  <c:v>2.2999999999999998</c:v>
                </c:pt>
                <c:pt idx="6">
                  <c:v>3.3499999999999988</c:v>
                </c:pt>
                <c:pt idx="7">
                  <c:v>3.8499999999999988</c:v>
                </c:pt>
                <c:pt idx="8">
                  <c:v>4.5</c:v>
                </c:pt>
                <c:pt idx="9">
                  <c:v>3.8</c:v>
                </c:pt>
                <c:pt idx="10">
                  <c:v>3.98</c:v>
                </c:pt>
                <c:pt idx="11">
                  <c:v>3.77</c:v>
                </c:pt>
                <c:pt idx="12">
                  <c:v>3.7</c:v>
                </c:pt>
              </c:numCache>
            </c:numRef>
          </c:yVal>
          <c:smooth val="1"/>
        </c:ser>
        <c:ser>
          <c:idx val="2"/>
          <c:order val="2"/>
          <c:tx>
            <c:v>Ugs=2V</c:v>
          </c:tx>
          <c:spPr>
            <a:ln>
              <a:solidFill>
                <a:schemeClr val="bg1">
                  <a:lumMod val="75000"/>
                </a:schemeClr>
              </a:solidFill>
            </a:ln>
          </c:spPr>
          <c:marker>
            <c:symbol val="none"/>
          </c:marker>
          <c:xVal>
            <c:numRef>
              <c:f>Arkusz2!$C$1:$O$1</c:f>
              <c:numCache>
                <c:formatCode>General</c:formatCode>
                <c:ptCount val="13"/>
                <c:pt idx="0">
                  <c:v>0.25</c:v>
                </c:pt>
                <c:pt idx="1">
                  <c:v>0.54</c:v>
                </c:pt>
                <c:pt idx="2">
                  <c:v>1</c:v>
                </c:pt>
                <c:pt idx="3">
                  <c:v>1.54</c:v>
                </c:pt>
                <c:pt idx="4">
                  <c:v>2</c:v>
                </c:pt>
                <c:pt idx="5">
                  <c:v>3</c:v>
                </c:pt>
                <c:pt idx="6">
                  <c:v>5</c:v>
                </c:pt>
                <c:pt idx="7">
                  <c:v>7.5</c:v>
                </c:pt>
                <c:pt idx="8">
                  <c:v>10</c:v>
                </c:pt>
                <c:pt idx="9">
                  <c:v>12.5</c:v>
                </c:pt>
                <c:pt idx="10">
                  <c:v>15</c:v>
                </c:pt>
                <c:pt idx="11">
                  <c:v>17.5</c:v>
                </c:pt>
                <c:pt idx="12">
                  <c:v>20</c:v>
                </c:pt>
              </c:numCache>
            </c:numRef>
          </c:xVal>
          <c:yVal>
            <c:numRef>
              <c:f>Arkusz2!$C$4:$O$4</c:f>
              <c:numCache>
                <c:formatCode>General</c:formatCode>
                <c:ptCount val="13"/>
                <c:pt idx="0">
                  <c:v>0.14000000000000001</c:v>
                </c:pt>
                <c:pt idx="1">
                  <c:v>0.30000000000000016</c:v>
                </c:pt>
                <c:pt idx="2">
                  <c:v>0.58000000000000007</c:v>
                </c:pt>
                <c:pt idx="3">
                  <c:v>0.78</c:v>
                </c:pt>
                <c:pt idx="4">
                  <c:v>1.08</c:v>
                </c:pt>
                <c:pt idx="5">
                  <c:v>1.1800000000000006</c:v>
                </c:pt>
                <c:pt idx="6">
                  <c:v>1.33</c:v>
                </c:pt>
                <c:pt idx="7">
                  <c:v>1.45</c:v>
                </c:pt>
                <c:pt idx="8">
                  <c:v>1.3</c:v>
                </c:pt>
                <c:pt idx="9">
                  <c:v>1.35</c:v>
                </c:pt>
                <c:pt idx="10">
                  <c:v>1.45</c:v>
                </c:pt>
                <c:pt idx="11">
                  <c:v>1.58</c:v>
                </c:pt>
                <c:pt idx="12">
                  <c:v>1.3900000000000001</c:v>
                </c:pt>
              </c:numCache>
            </c:numRef>
          </c:yVal>
          <c:smooth val="1"/>
        </c:ser>
        <c:ser>
          <c:idx val="3"/>
          <c:order val="3"/>
          <c:tx>
            <c:v>Ugs=2,5V</c:v>
          </c:tx>
          <c:spPr>
            <a:ln>
              <a:solidFill>
                <a:schemeClr val="bg1">
                  <a:lumMod val="85000"/>
                </a:schemeClr>
              </a:solidFill>
            </a:ln>
          </c:spPr>
          <c:marker>
            <c:symbol val="none"/>
          </c:marker>
          <c:xVal>
            <c:numRef>
              <c:f>Arkusz2!$C$1:$O$1</c:f>
              <c:numCache>
                <c:formatCode>General</c:formatCode>
                <c:ptCount val="13"/>
                <c:pt idx="0">
                  <c:v>0.25</c:v>
                </c:pt>
                <c:pt idx="1">
                  <c:v>0.54</c:v>
                </c:pt>
                <c:pt idx="2">
                  <c:v>1</c:v>
                </c:pt>
                <c:pt idx="3">
                  <c:v>1.54</c:v>
                </c:pt>
                <c:pt idx="4">
                  <c:v>2</c:v>
                </c:pt>
                <c:pt idx="5">
                  <c:v>3</c:v>
                </c:pt>
                <c:pt idx="6">
                  <c:v>5</c:v>
                </c:pt>
                <c:pt idx="7">
                  <c:v>7.5</c:v>
                </c:pt>
                <c:pt idx="8">
                  <c:v>10</c:v>
                </c:pt>
                <c:pt idx="9">
                  <c:v>12.5</c:v>
                </c:pt>
                <c:pt idx="10">
                  <c:v>15</c:v>
                </c:pt>
                <c:pt idx="11">
                  <c:v>17.5</c:v>
                </c:pt>
                <c:pt idx="12">
                  <c:v>20</c:v>
                </c:pt>
              </c:numCache>
            </c:numRef>
          </c:xVal>
          <c:yVal>
            <c:numRef>
              <c:f>Arkusz2!$C$5:$O$5</c:f>
              <c:numCache>
                <c:formatCode>General</c:formatCode>
                <c:ptCount val="13"/>
                <c:pt idx="0">
                  <c:v>9.0000000000000024E-2</c:v>
                </c:pt>
                <c:pt idx="1">
                  <c:v>0.19</c:v>
                </c:pt>
                <c:pt idx="2">
                  <c:v>0.28000000000000008</c:v>
                </c:pt>
                <c:pt idx="3">
                  <c:v>0.33000000000000024</c:v>
                </c:pt>
                <c:pt idx="4">
                  <c:v>0.36000000000000015</c:v>
                </c:pt>
                <c:pt idx="5">
                  <c:v>0.38000000000000017</c:v>
                </c:pt>
                <c:pt idx="6">
                  <c:v>0.49000000000000016</c:v>
                </c:pt>
                <c:pt idx="7">
                  <c:v>0.35000000000000014</c:v>
                </c:pt>
                <c:pt idx="8">
                  <c:v>0.42000000000000015</c:v>
                </c:pt>
                <c:pt idx="9">
                  <c:v>0.44</c:v>
                </c:pt>
                <c:pt idx="10">
                  <c:v>0.48000000000000015</c:v>
                </c:pt>
                <c:pt idx="11">
                  <c:v>0.43000000000000016</c:v>
                </c:pt>
                <c:pt idx="12">
                  <c:v>0.45</c:v>
                </c:pt>
              </c:numCache>
            </c:numRef>
          </c:yVal>
          <c:smooth val="1"/>
        </c:ser>
        <c:axId val="138114560"/>
        <c:axId val="138116480"/>
      </c:scatterChart>
      <c:valAx>
        <c:axId val="138114560"/>
        <c:scaling>
          <c:orientation val="minMax"/>
        </c:scaling>
        <c:axPos val="b"/>
        <c:minorGridlines/>
        <c:title>
          <c:tx>
            <c:rich>
              <a:bodyPr/>
              <a:lstStyle/>
              <a:p>
                <a:pPr>
                  <a:defRPr/>
                </a:pPr>
                <a:r>
                  <a:rPr lang="pl-PL"/>
                  <a:t>U</a:t>
                </a:r>
                <a:r>
                  <a:rPr lang="pl-PL" sz="600"/>
                  <a:t>DS</a:t>
                </a:r>
                <a:r>
                  <a:rPr lang="pl-PL"/>
                  <a:t>[V]</a:t>
                </a:r>
              </a:p>
            </c:rich>
          </c:tx>
        </c:title>
        <c:numFmt formatCode="General" sourceLinked="1"/>
        <c:majorTickMark val="none"/>
        <c:tickLblPos val="nextTo"/>
        <c:crossAx val="138116480"/>
        <c:crosses val="autoZero"/>
        <c:crossBetween val="midCat"/>
      </c:valAx>
      <c:valAx>
        <c:axId val="138116480"/>
        <c:scaling>
          <c:orientation val="minMax"/>
        </c:scaling>
        <c:axPos val="l"/>
        <c:majorGridlines/>
        <c:title>
          <c:tx>
            <c:rich>
              <a:bodyPr/>
              <a:lstStyle/>
              <a:p>
                <a:pPr>
                  <a:defRPr/>
                </a:pPr>
                <a:r>
                  <a:rPr lang="pl-PL"/>
                  <a:t>I</a:t>
                </a:r>
                <a:r>
                  <a:rPr lang="pl-PL" sz="600"/>
                  <a:t>DS</a:t>
                </a:r>
                <a:r>
                  <a:rPr lang="pl-PL"/>
                  <a:t>[mA]</a:t>
                </a:r>
              </a:p>
            </c:rich>
          </c:tx>
          <c:layout>
            <c:manualLayout>
              <c:xMode val="edge"/>
              <c:yMode val="edge"/>
              <c:x val="2.24948839033728E-2"/>
              <c:y val="0.39716505436820398"/>
            </c:manualLayout>
          </c:layout>
        </c:title>
        <c:numFmt formatCode="General" sourceLinked="1"/>
        <c:majorTickMark val="none"/>
        <c:tickLblPos val="nextTo"/>
        <c:crossAx val="138114560"/>
        <c:crosses val="autoZero"/>
        <c:crossBetween val="midCat"/>
      </c:valAx>
    </c:plotArea>
    <c:legend>
      <c:legendPos val="r"/>
    </c:legend>
    <c:plotVisOnly val="1"/>
  </c:chart>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D0B7E-91DF-4803-8238-8CBA1FB7B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607</Words>
  <Characters>3645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Hamster</dc:creator>
  <cp:keywords/>
  <dc:description/>
  <cp:lastModifiedBy>Paweł</cp:lastModifiedBy>
  <cp:revision>9</cp:revision>
  <dcterms:created xsi:type="dcterms:W3CDTF">2007-10-15T20:00:00Z</dcterms:created>
  <dcterms:modified xsi:type="dcterms:W3CDTF">2010-02-17T21:00:00Z</dcterms:modified>
</cp:coreProperties>
</file>