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C13CBE" w:rsidTr="001B3752">
        <w:trPr>
          <w:trHeight w:val="566"/>
        </w:trPr>
        <w:tc>
          <w:tcPr>
            <w:tcW w:w="9333" w:type="dxa"/>
            <w:gridSpan w:val="5"/>
            <w:vAlign w:val="center"/>
          </w:tcPr>
          <w:p w:rsidR="00C13CBE" w:rsidRDefault="00C13CBE" w:rsidP="00986908">
            <w:pPr>
              <w:jc w:val="center"/>
            </w:pPr>
            <w:r>
              <w:t xml:space="preserve">SPRAWOZDANIE Z ĆWICZENIA LABORATORYJNEGO Z PRZYRZĄDÓW PÓŁPRZEWODNIKOWYCH NR </w:t>
            </w:r>
            <w:r w:rsidR="00986908">
              <w:t>6</w:t>
            </w:r>
          </w:p>
        </w:tc>
      </w:tr>
      <w:tr w:rsidR="00C13CBE" w:rsidTr="001B3752">
        <w:trPr>
          <w:trHeight w:val="1246"/>
        </w:trPr>
        <w:tc>
          <w:tcPr>
            <w:tcW w:w="4335" w:type="dxa"/>
            <w:gridSpan w:val="3"/>
            <w:vAlign w:val="center"/>
          </w:tcPr>
          <w:p w:rsidR="00C13CBE" w:rsidRDefault="00C13CBE" w:rsidP="001B3752">
            <w:pPr>
              <w:jc w:val="center"/>
            </w:pPr>
            <w:r>
              <w:t>KOLEGIUM KARKONOWSKIE</w:t>
            </w:r>
          </w:p>
          <w:p w:rsidR="00C13CBE" w:rsidRDefault="00C13CBE" w:rsidP="001B3752">
            <w:pPr>
              <w:jc w:val="center"/>
            </w:pPr>
            <w:r>
              <w:t>w Jeleniej Górze</w:t>
            </w:r>
          </w:p>
          <w:p w:rsidR="00C13CBE" w:rsidRDefault="00C13CBE" w:rsidP="001B3752">
            <w:pPr>
              <w:jc w:val="center"/>
            </w:pPr>
            <w:r>
              <w:t>INSTYTUT TECHNIKI</w:t>
            </w:r>
          </w:p>
        </w:tc>
        <w:tc>
          <w:tcPr>
            <w:tcW w:w="4998" w:type="dxa"/>
            <w:gridSpan w:val="2"/>
          </w:tcPr>
          <w:p w:rsidR="00C13CBE" w:rsidRDefault="00C13CBE" w:rsidP="001B3752">
            <w:r>
              <w:t xml:space="preserve">Temat ćwiczenia: </w:t>
            </w:r>
            <w:r w:rsidR="00986908">
              <w:t>Wpływ temperatury na charakterystykę prądowo – napięciową złącza PN</w:t>
            </w:r>
            <w:r>
              <w:t>.</w:t>
            </w:r>
          </w:p>
          <w:p w:rsidR="00C13CBE" w:rsidRDefault="00C13CBE" w:rsidP="00986908">
            <w:r>
              <w:t xml:space="preserve">(ćwiczenie nr </w:t>
            </w:r>
            <w:r w:rsidR="00986908">
              <w:t>6</w:t>
            </w:r>
            <w:r>
              <w:t>)</w:t>
            </w:r>
          </w:p>
        </w:tc>
      </w:tr>
      <w:tr w:rsidR="00C13CBE" w:rsidTr="001B3752">
        <w:trPr>
          <w:trHeight w:val="836"/>
        </w:trPr>
        <w:tc>
          <w:tcPr>
            <w:tcW w:w="4335" w:type="dxa"/>
            <w:gridSpan w:val="3"/>
          </w:tcPr>
          <w:p w:rsidR="00C13CBE" w:rsidRDefault="00C13CBE" w:rsidP="001B3752">
            <w:r>
              <w:t xml:space="preserve">Imię i nazwisko: </w:t>
            </w:r>
          </w:p>
          <w:p w:rsidR="00986908" w:rsidRDefault="00986908" w:rsidP="001B3752"/>
        </w:tc>
        <w:tc>
          <w:tcPr>
            <w:tcW w:w="2449" w:type="dxa"/>
            <w:vMerge w:val="restart"/>
          </w:tcPr>
          <w:p w:rsidR="00C13CBE" w:rsidRDefault="00C13CBE" w:rsidP="001B3752">
            <w:r>
              <w:t xml:space="preserve">Data wykonania </w:t>
            </w:r>
          </w:p>
          <w:p w:rsidR="00C13CBE" w:rsidRDefault="00C13CBE" w:rsidP="001B3752">
            <w:r>
              <w:t>ćwiczenia:</w:t>
            </w:r>
          </w:p>
          <w:p w:rsidR="00C13CBE" w:rsidRDefault="00986908" w:rsidP="00986908">
            <w:r>
              <w:t>2</w:t>
            </w:r>
            <w:r w:rsidR="00C13CBE">
              <w:t>.</w:t>
            </w:r>
            <w:r>
              <w:t>4</w:t>
            </w:r>
            <w:r w:rsidR="00C13CBE">
              <w:t>.2007</w:t>
            </w:r>
          </w:p>
        </w:tc>
        <w:tc>
          <w:tcPr>
            <w:tcW w:w="2549" w:type="dxa"/>
            <w:vMerge w:val="restart"/>
          </w:tcPr>
          <w:p w:rsidR="00C13CBE" w:rsidRDefault="00C13CBE" w:rsidP="001B3752">
            <w:r>
              <w:t>Ocena:</w:t>
            </w:r>
          </w:p>
        </w:tc>
      </w:tr>
      <w:tr w:rsidR="00C13CBE" w:rsidTr="001B3752">
        <w:trPr>
          <w:trHeight w:val="691"/>
        </w:trPr>
        <w:tc>
          <w:tcPr>
            <w:tcW w:w="1489" w:type="dxa"/>
          </w:tcPr>
          <w:p w:rsidR="00C13CBE" w:rsidRDefault="00C13CBE" w:rsidP="001B3752">
            <w:r>
              <w:t>Specjalizacja</w:t>
            </w:r>
          </w:p>
          <w:p w:rsidR="00C13CBE" w:rsidRDefault="00C13CBE" w:rsidP="001B3752">
            <w:r>
              <w:t>EiT</w:t>
            </w:r>
          </w:p>
        </w:tc>
        <w:tc>
          <w:tcPr>
            <w:tcW w:w="1513" w:type="dxa"/>
          </w:tcPr>
          <w:p w:rsidR="00C13CBE" w:rsidRDefault="00C13CBE" w:rsidP="001B3752">
            <w:r>
              <w:t>Semestr</w:t>
            </w:r>
          </w:p>
          <w:p w:rsidR="00C13CBE" w:rsidRDefault="00C13CBE" w:rsidP="001B3752">
            <w:r>
              <w:t>II</w:t>
            </w:r>
          </w:p>
        </w:tc>
        <w:tc>
          <w:tcPr>
            <w:tcW w:w="1333" w:type="dxa"/>
          </w:tcPr>
          <w:p w:rsidR="00C13CBE" w:rsidRDefault="00C13CBE" w:rsidP="001B3752">
            <w:r>
              <w:t>Grupa</w:t>
            </w:r>
          </w:p>
          <w:p w:rsidR="00C13CBE" w:rsidRDefault="00C13CBE" w:rsidP="00C13CBE">
            <w:r>
              <w:t>IV</w:t>
            </w:r>
          </w:p>
        </w:tc>
        <w:tc>
          <w:tcPr>
            <w:tcW w:w="2449" w:type="dxa"/>
            <w:vMerge/>
          </w:tcPr>
          <w:p w:rsidR="00C13CBE" w:rsidRDefault="00C13CBE" w:rsidP="001B3752"/>
        </w:tc>
        <w:tc>
          <w:tcPr>
            <w:tcW w:w="2549" w:type="dxa"/>
            <w:vMerge/>
          </w:tcPr>
          <w:p w:rsidR="00C13CBE" w:rsidRDefault="00C13CBE" w:rsidP="001B3752"/>
        </w:tc>
      </w:tr>
    </w:tbl>
    <w:p w:rsidR="00CE084A" w:rsidRDefault="00CE084A" w:rsidP="00A30039"/>
    <w:p w:rsidR="0017552C" w:rsidRDefault="0017552C" w:rsidP="00A30039"/>
    <w:p w:rsidR="00CE084A" w:rsidRPr="001E5DAD" w:rsidRDefault="00763F41" w:rsidP="00A30039">
      <w:pPr>
        <w:pStyle w:val="Akapitzlist"/>
        <w:numPr>
          <w:ilvl w:val="0"/>
          <w:numId w:val="1"/>
        </w:numPr>
        <w:rPr>
          <w:b/>
        </w:rPr>
      </w:pPr>
      <w:r w:rsidRPr="001E5DAD">
        <w:rPr>
          <w:b/>
        </w:rPr>
        <w:t>Cel ćwiczenia</w:t>
      </w:r>
    </w:p>
    <w:p w:rsidR="00B439C9" w:rsidRDefault="004E6AB8" w:rsidP="00A30039">
      <w:pPr>
        <w:jc w:val="both"/>
      </w:pPr>
      <w:r w:rsidRPr="000D4A0E">
        <w:t>Zapoznanie się z podstawowymi parametrami złącza p-n, oraz wpływem temperatury na złącze.</w:t>
      </w:r>
    </w:p>
    <w:p w:rsidR="000D4A0E" w:rsidRPr="000D4A0E" w:rsidRDefault="000D4A0E" w:rsidP="00A30039">
      <w:pPr>
        <w:jc w:val="both"/>
      </w:pPr>
    </w:p>
    <w:p w:rsidR="00B439C9" w:rsidRDefault="00B439C9" w:rsidP="00A30039">
      <w:pPr>
        <w:pStyle w:val="Akapitzlist"/>
        <w:widowControl w:val="0"/>
        <w:numPr>
          <w:ilvl w:val="0"/>
          <w:numId w:val="1"/>
        </w:numPr>
        <w:rPr>
          <w:b/>
          <w:spacing w:val="-2"/>
        </w:rPr>
      </w:pPr>
      <w:r w:rsidRPr="001E5DAD">
        <w:rPr>
          <w:b/>
          <w:spacing w:val="-2"/>
        </w:rPr>
        <w:t>Wstęp teoretyczny</w:t>
      </w:r>
    </w:p>
    <w:p w:rsidR="007A5B1E" w:rsidRDefault="007A5B1E" w:rsidP="00A30039">
      <w:pPr>
        <w:ind w:firstLine="708"/>
        <w:jc w:val="both"/>
        <w:rPr>
          <w:w w:val="101"/>
        </w:rPr>
      </w:pPr>
      <w:r>
        <w:t xml:space="preserve">Konduktywność półprzewodnika zależy od koncentracja nośników i ich ruchliwości, a te wielkości z kolei zależą od temperatury. </w:t>
      </w:r>
      <w:r w:rsidR="00ED29D8" w:rsidRPr="00706D0C">
        <w:rPr>
          <w:w w:val="101"/>
        </w:rPr>
        <w:t>Zależność konduktyw</w:t>
      </w:r>
      <w:r w:rsidR="00ED29D8" w:rsidRPr="00706D0C">
        <w:t>ności półprzewodnika niesamoist</w:t>
      </w:r>
      <w:r w:rsidR="00ED29D8" w:rsidRPr="00706D0C">
        <w:rPr>
          <w:w w:val="101"/>
        </w:rPr>
        <w:t xml:space="preserve">nego od odwrotności temperatury </w:t>
      </w:r>
      <w:r w:rsidR="00ED29D8" w:rsidRPr="00706D0C">
        <w:rPr>
          <w:iCs/>
          <w:w w:val="101"/>
        </w:rPr>
        <w:t>ln</w:t>
      </w:r>
      <w:r w:rsidR="00ED29D8" w:rsidRPr="00706D0C">
        <w:rPr>
          <w:iCs/>
          <w:w w:val="101"/>
        </w:rPr>
        <w:sym w:font="Symbol" w:char="F064"/>
      </w:r>
      <w:r w:rsidR="00ED29D8" w:rsidRPr="00706D0C">
        <w:rPr>
          <w:iCs/>
          <w:w w:val="101"/>
        </w:rPr>
        <w:t>=f(1/T)</w:t>
      </w:r>
      <w:r w:rsidR="00ED29D8" w:rsidRPr="00706D0C">
        <w:rPr>
          <w:w w:val="101"/>
        </w:rPr>
        <w:t>. Podany</w:t>
      </w:r>
      <w:r w:rsidR="00ED29D8">
        <w:rPr>
          <w:w w:val="101"/>
        </w:rPr>
        <w:t xml:space="preserve"> przebieg jest typowy dla półprzewodników. </w:t>
      </w:r>
      <w:r>
        <w:rPr>
          <w:w w:val="101"/>
        </w:rPr>
        <w:t xml:space="preserve">Można na nim wyróżnić trzy charakterystyczne zakresy zmian konduktywności wraz ze zmianą temperatury: </w:t>
      </w:r>
    </w:p>
    <w:p w:rsidR="007A5B1E" w:rsidRDefault="007A5B1E" w:rsidP="00A30039">
      <w:pPr>
        <w:numPr>
          <w:ilvl w:val="0"/>
          <w:numId w:val="3"/>
        </w:numPr>
        <w:tabs>
          <w:tab w:val="clear" w:pos="1698"/>
        </w:tabs>
        <w:ind w:left="284" w:hanging="280"/>
        <w:jc w:val="both"/>
        <w:rPr>
          <w:w w:val="101"/>
        </w:rPr>
      </w:pPr>
      <w:r>
        <w:rPr>
          <w:w w:val="101"/>
        </w:rPr>
        <w:t>w zakre</w:t>
      </w:r>
      <w:r>
        <w:t>sie niskich tem</w:t>
      </w:r>
      <w:r>
        <w:rPr>
          <w:w w:val="101"/>
        </w:rPr>
        <w:t>peratur generacja termiczna par elektron-dziura praktycznie biorąc nie istnieje, przy czym w tym zakresie temperatur również nie wszystkie domieszki są zjonizowane.</w:t>
      </w:r>
    </w:p>
    <w:p w:rsidR="007A5B1E" w:rsidRDefault="007A5B1E" w:rsidP="00A30039">
      <w:pPr>
        <w:numPr>
          <w:ilvl w:val="0"/>
          <w:numId w:val="3"/>
        </w:numPr>
        <w:tabs>
          <w:tab w:val="clear" w:pos="1698"/>
        </w:tabs>
        <w:ind w:left="284" w:hanging="280"/>
        <w:jc w:val="both"/>
      </w:pPr>
      <w:r>
        <w:rPr>
          <w:spacing w:val="-2"/>
          <w:w w:val="102"/>
        </w:rPr>
        <w:t xml:space="preserve">W zakresie średnich  temperatur praktycznie biorąc </w:t>
      </w:r>
      <w:r>
        <w:rPr>
          <w:spacing w:val="-1"/>
          <w:w w:val="102"/>
        </w:rPr>
        <w:t xml:space="preserve">wszystkie domieszki są zjonizowane i konduktywność jest w przybliżeniu </w:t>
      </w:r>
      <w:r>
        <w:rPr>
          <w:w w:val="102"/>
        </w:rPr>
        <w:t>stała, gdyż termiczna generacja par elektron-dziura w półprzewodniku w dalszym ciągu jest nieznaczna, a o konduktywności decyduje koncen</w:t>
      </w:r>
      <w:r>
        <w:rPr>
          <w:spacing w:val="-1"/>
          <w:w w:val="102"/>
        </w:rPr>
        <w:t xml:space="preserve">tracja nośników ładunku pochodzących z domieszek. </w:t>
      </w:r>
      <w:r>
        <w:rPr>
          <w:spacing w:val="-1"/>
          <w:w w:val="102"/>
        </w:rPr>
        <w:br/>
      </w:r>
      <w:r>
        <w:rPr>
          <w:w w:val="102"/>
        </w:rPr>
        <w:t>Za zakres średnich temperatur w przypadku germanu można uważać zakres od ok. -150 °C do ok. +75 °C, a w przypadku krzemu — zakres od ok. -100 °C do ok. +150 °C.</w:t>
      </w:r>
    </w:p>
    <w:p w:rsidR="007A5B1E" w:rsidRDefault="007A5B1E" w:rsidP="00A30039">
      <w:pPr>
        <w:numPr>
          <w:ilvl w:val="0"/>
          <w:numId w:val="3"/>
        </w:numPr>
        <w:tabs>
          <w:tab w:val="clear" w:pos="1698"/>
        </w:tabs>
        <w:ind w:left="284" w:hanging="280"/>
        <w:jc w:val="both"/>
      </w:pPr>
      <w:r>
        <w:rPr>
          <w:w w:val="102"/>
        </w:rPr>
        <w:t>w zakresie wysokich temperatur przeważa termiczna generacja par elektron-dziura. Koncentracja tych par jest znacznie więk</w:t>
      </w:r>
      <w:r>
        <w:rPr>
          <w:spacing w:val="-3"/>
          <w:w w:val="102"/>
        </w:rPr>
        <w:t>sza od koncentracji nośników pochodzących z domieszek. Konduktywność półprzewodnika w tym zakresie zmienia się wraz ze zmianą temperatury wykładniczo.</w:t>
      </w:r>
    </w:p>
    <w:p w:rsidR="007A5B1E" w:rsidRDefault="007A5B1E" w:rsidP="00A30039">
      <w:r>
        <w:t>Charakterystykę prądowo-napięciową złącza PN opisuje wzór Schockley’a:</w:t>
      </w:r>
    </w:p>
    <w:p w:rsidR="007A5B1E" w:rsidRDefault="007A5B1E" w:rsidP="00A30039"/>
    <w:p w:rsidR="007A5B1E" w:rsidRDefault="00531044" w:rsidP="00A30039">
      <w:pPr>
        <w:ind w:left="6804"/>
      </w:pPr>
      <w:r w:rsidRPr="00531044">
        <w:rPr>
          <w:noProof/>
          <w:sz w:val="20"/>
        </w:rPr>
        <w:pict>
          <v:group id="_x0000_s1060" style="position:absolute;left:0;text-align:left;margin-left:162.65pt;margin-top:1.8pt;width:120.15pt;height:45.75pt;z-index:251662336" coordorigin="3985,14056" coordsize="2403,915" wrapcoords="20115 0 11070 0 10260 354 9855 11331 10260 21246 11340 21600 20115 21600 20655 21600 20790 21600 21465 11331 20925 1062 20655 0 20115 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3985;top:14343;width:2403;height:488" filled="f" stroked="f">
              <v:textbox style="mso-next-textbox:#_x0000_s1061" inset="0,0,0,0">
                <w:txbxContent>
                  <w:p w:rsidR="007A5B1E" w:rsidRDefault="007A5B1E" w:rsidP="007A5B1E">
                    <w:pPr>
                      <w:tabs>
                        <w:tab w:val="left" w:pos="1843"/>
                        <w:tab w:val="left" w:pos="7088"/>
                      </w:tabs>
                      <w:rPr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I = I</w:t>
                    </w:r>
                    <w:r>
                      <w:rPr>
                        <w:i/>
                        <w:iCs/>
                        <w:vertAlign w:val="subscript"/>
                        <w:lang w:val="en-US"/>
                      </w:rPr>
                      <w:t>s</w:t>
                    </w:r>
                    <w:r>
                      <w:rPr>
                        <w:vertAlign w:val="subscript"/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 xml:space="preserve"> exp </w:t>
                    </w:r>
                    <w:r>
                      <w:rPr>
                        <w:lang w:val="en-US"/>
                      </w:rPr>
                      <w:tab/>
                      <w:t xml:space="preserve">- </w:t>
                    </w:r>
                    <w:r>
                      <w:rPr>
                        <w:i/>
                        <w:iCs/>
                        <w:lang w:val="en-US"/>
                      </w:rPr>
                      <w:t>1</w:t>
                    </w:r>
                  </w:p>
                </w:txbxContent>
              </v:textbox>
            </v:shape>
            <v:group id="_x0000_s1062" style="position:absolute;left:5238;top:14103;width:558;height:802" coordorigin="3090,14620" coordsize="558,802">
              <v:line id="_x0000_s1063" style="position:absolute" from="3132,15007" to="3594,15007"/>
              <v:shape id="_x0000_s1064" type="#_x0000_t202" style="position:absolute;left:3125;top:14662;width:479;height:320" filled="f" stroked="f">
                <v:textbox style="mso-next-textbox:#_x0000_s1064" inset="0,0,0,0">
                  <w:txbxContent>
                    <w:p w:rsidR="007A5B1E" w:rsidRDefault="007A5B1E" w:rsidP="007A5B1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eU</w:t>
                      </w:r>
                    </w:p>
                  </w:txbxContent>
                </v:textbox>
              </v:shape>
              <v:shape id="_x0000_s1065" type="#_x0000_t202" style="position:absolute;left:3120;top:15049;width:453;height:283" filled="f" stroked="f">
                <v:textbox style="mso-next-textbox:#_x0000_s1065" inset="0,0,0,0">
                  <w:txbxContent>
                    <w:p w:rsidR="007A5B1E" w:rsidRDefault="007A5B1E" w:rsidP="007A5B1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k T</w:t>
                      </w:r>
                    </w:p>
                  </w:txbxContent>
                </v:textbox>
              </v:shape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_x0000_s1066" type="#_x0000_t85" style="position:absolute;left:3577;top:14642;width:71;height:780;flip:x"/>
              <v:shape id="_x0000_s1067" type="#_x0000_t85" style="position:absolute;left:3090;top:14620;width:71;height:780"/>
            </v:group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68" type="#_x0000_t87" style="position:absolute;left:5095;top:14078;width:120;height:878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69" type="#_x0000_t88" style="position:absolute;left:6255;top:14056;width:98;height:915"/>
          </v:group>
        </w:pict>
      </w:r>
    </w:p>
    <w:p w:rsidR="007A5B1E" w:rsidRDefault="007A5B1E" w:rsidP="00A30039"/>
    <w:p w:rsidR="007A5B1E" w:rsidRDefault="007A5B1E" w:rsidP="00A30039"/>
    <w:p w:rsidR="007A5B1E" w:rsidRDefault="007A5B1E" w:rsidP="00A30039"/>
    <w:p w:rsidR="007A5B1E" w:rsidRDefault="007A5B1E" w:rsidP="00A30039"/>
    <w:p w:rsidR="007A5B1E" w:rsidRDefault="007A5B1E" w:rsidP="00A30039">
      <w:pPr>
        <w:jc w:val="both"/>
      </w:pPr>
      <w:r>
        <w:t xml:space="preserve">W równaniu tym gęstość prąd </w:t>
      </w:r>
      <w:r w:rsidRPr="00706D0C">
        <w:t xml:space="preserve">nasycenia </w:t>
      </w:r>
      <w:r w:rsidRPr="00706D0C">
        <w:rPr>
          <w:iCs/>
        </w:rPr>
        <w:t>I</w:t>
      </w:r>
      <w:r w:rsidRPr="00706D0C">
        <w:rPr>
          <w:iCs/>
          <w:vertAlign w:val="subscript"/>
        </w:rPr>
        <w:t>s</w:t>
      </w:r>
      <w:r w:rsidRPr="00706D0C">
        <w:rPr>
          <w:iCs/>
        </w:rPr>
        <w:t xml:space="preserve"> </w:t>
      </w:r>
      <w:r w:rsidRPr="00706D0C">
        <w:t xml:space="preserve">oraz czynnik </w:t>
      </w:r>
      <w:r w:rsidRPr="00706D0C">
        <w:rPr>
          <w:iCs/>
        </w:rPr>
        <w:t>exp(qU/kT)</w:t>
      </w:r>
      <w:r w:rsidRPr="00706D0C">
        <w:t xml:space="preserve"> zależą</w:t>
      </w:r>
      <w:r>
        <w:t xml:space="preserve"> od temperatury. W zakresie niskich temperatur gęstości nośników prądu zmieniają się wykładniczo ze zmianami temperatury, ale ich wpływ przy analizie może być pominięty. Natomiast w zakresie wysokich temperatur w półprzewodniku przeważa termiczna generacja par elektron-dziura i dlatego złącze PN traci swoje właściwości, zachowując się jak półprzewodnik samoistny. </w:t>
      </w:r>
    </w:p>
    <w:p w:rsidR="007A5B1E" w:rsidRDefault="007A5B1E" w:rsidP="00A30039">
      <w:pPr>
        <w:jc w:val="both"/>
      </w:pPr>
    </w:p>
    <w:p w:rsidR="007A5B1E" w:rsidRDefault="007A5B1E" w:rsidP="00A30039">
      <w:pPr>
        <w:jc w:val="both"/>
      </w:pPr>
    </w:p>
    <w:p w:rsidR="007A5B1E" w:rsidRDefault="007A5B1E" w:rsidP="00A30039">
      <w:pPr>
        <w:jc w:val="both"/>
      </w:pPr>
    </w:p>
    <w:p w:rsidR="00A30039" w:rsidRDefault="00A30039" w:rsidP="00A30039">
      <w:pPr>
        <w:jc w:val="both"/>
      </w:pPr>
    </w:p>
    <w:p w:rsidR="0017552C" w:rsidRDefault="0017552C" w:rsidP="00A30039">
      <w:pPr>
        <w:jc w:val="both"/>
      </w:pPr>
    </w:p>
    <w:p w:rsidR="00CB44B5" w:rsidRPr="001E5DAD" w:rsidRDefault="00CB44B5" w:rsidP="00A30039">
      <w:pPr>
        <w:pStyle w:val="Style1"/>
        <w:numPr>
          <w:ilvl w:val="0"/>
          <w:numId w:val="1"/>
        </w:numPr>
        <w:spacing w:after="144" w:line="240" w:lineRule="auto"/>
        <w:rPr>
          <w:b/>
          <w:noProof/>
          <w:sz w:val="24"/>
          <w:szCs w:val="24"/>
        </w:rPr>
      </w:pPr>
      <w:r w:rsidRPr="001E5DAD">
        <w:rPr>
          <w:b/>
          <w:noProof/>
          <w:sz w:val="24"/>
          <w:szCs w:val="24"/>
        </w:rPr>
        <w:lastRenderedPageBreak/>
        <w:t>Użyte przyrządy</w:t>
      </w:r>
    </w:p>
    <w:p w:rsidR="00CB44B5" w:rsidRDefault="00CB44B5" w:rsidP="00A30039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 Digital multimeter M-3800</w:t>
      </w:r>
    </w:p>
    <w:p w:rsidR="00CB44B5" w:rsidRDefault="00CB44B5" w:rsidP="00A30039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 Multimeter APPA 207</w:t>
      </w:r>
    </w:p>
    <w:p w:rsidR="00CB44B5" w:rsidRDefault="00CB44B5" w:rsidP="00A30039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</w:t>
      </w:r>
      <w:r w:rsidR="00380635">
        <w:rPr>
          <w:noProof/>
          <w:sz w:val="24"/>
          <w:szCs w:val="24"/>
        </w:rPr>
        <w:t xml:space="preserve"> Źródło napięcia DF 1731 SL 2A</w:t>
      </w:r>
    </w:p>
    <w:p w:rsidR="00380635" w:rsidRDefault="00380635" w:rsidP="00A30039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- </w:t>
      </w:r>
      <w:r w:rsidR="001E5DAD">
        <w:rPr>
          <w:noProof/>
          <w:sz w:val="24"/>
          <w:szCs w:val="24"/>
        </w:rPr>
        <w:t xml:space="preserve">Dioda </w:t>
      </w:r>
    </w:p>
    <w:p w:rsidR="009849FB" w:rsidRDefault="001E5DAD" w:rsidP="009849FB">
      <w:pPr>
        <w:pStyle w:val="Style1"/>
        <w:spacing w:after="144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- Rezystor 1,2 Ω i 1 kΩ</w:t>
      </w:r>
    </w:p>
    <w:p w:rsidR="009849FB" w:rsidRDefault="009849FB" w:rsidP="009849FB">
      <w:pPr>
        <w:pStyle w:val="Style1"/>
        <w:spacing w:after="144" w:line="240" w:lineRule="auto"/>
        <w:rPr>
          <w:noProof/>
          <w:sz w:val="24"/>
          <w:szCs w:val="24"/>
        </w:rPr>
      </w:pPr>
    </w:p>
    <w:p w:rsidR="009849FB" w:rsidRDefault="009849FB" w:rsidP="009849FB">
      <w:pPr>
        <w:pStyle w:val="Style1"/>
        <w:spacing w:after="144" w:line="240" w:lineRule="auto"/>
        <w:rPr>
          <w:noProof/>
          <w:sz w:val="24"/>
          <w:szCs w:val="24"/>
        </w:rPr>
      </w:pPr>
    </w:p>
    <w:p w:rsidR="009849FB" w:rsidRDefault="009849FB" w:rsidP="009849FB">
      <w:pPr>
        <w:pStyle w:val="Style1"/>
        <w:spacing w:after="144" w:line="240" w:lineRule="auto"/>
        <w:rPr>
          <w:noProof/>
          <w:sz w:val="24"/>
          <w:szCs w:val="24"/>
        </w:rPr>
      </w:pPr>
    </w:p>
    <w:p w:rsidR="0017552C" w:rsidRPr="00545B43" w:rsidRDefault="001E5DAD" w:rsidP="00A30039">
      <w:pPr>
        <w:pStyle w:val="Style1"/>
        <w:spacing w:after="144" w:line="240" w:lineRule="auto"/>
        <w:ind w:left="1134" w:hanging="708"/>
        <w:rPr>
          <w:b/>
          <w:noProof/>
          <w:sz w:val="24"/>
          <w:szCs w:val="24"/>
        </w:rPr>
      </w:pPr>
      <w:r w:rsidRPr="003B2F66">
        <w:rPr>
          <w:b/>
          <w:noProof/>
          <w:sz w:val="24"/>
          <w:szCs w:val="24"/>
        </w:rPr>
        <w:t xml:space="preserve">IV. </w:t>
      </w:r>
      <w:r w:rsidRPr="003B2F66">
        <w:rPr>
          <w:b/>
          <w:noProof/>
          <w:sz w:val="24"/>
          <w:szCs w:val="24"/>
        </w:rPr>
        <w:tab/>
        <w:t xml:space="preserve"> Tabele pomiarowe</w:t>
      </w:r>
      <w:r w:rsidR="00146FDE">
        <w:rPr>
          <w:b/>
          <w:noProof/>
          <w:sz w:val="24"/>
          <w:szCs w:val="24"/>
        </w:rPr>
        <w:t xml:space="preserve"> i obliczenia</w:t>
      </w:r>
    </w:p>
    <w:tbl>
      <w:tblPr>
        <w:tblStyle w:val="Tabela-Siatka"/>
        <w:tblW w:w="9711" w:type="dxa"/>
        <w:tblInd w:w="36" w:type="dxa"/>
        <w:tblLayout w:type="fixed"/>
        <w:tblLook w:val="04A0"/>
      </w:tblPr>
      <w:tblGrid>
        <w:gridCol w:w="1065"/>
        <w:gridCol w:w="992"/>
        <w:gridCol w:w="850"/>
        <w:gridCol w:w="1843"/>
        <w:gridCol w:w="992"/>
        <w:gridCol w:w="1134"/>
        <w:gridCol w:w="993"/>
        <w:gridCol w:w="1842"/>
      </w:tblGrid>
      <w:tr w:rsidR="00545B43" w:rsidTr="006A2518">
        <w:tc>
          <w:tcPr>
            <w:tcW w:w="4750" w:type="dxa"/>
            <w:gridSpan w:val="4"/>
            <w:tcBorders>
              <w:right w:val="single" w:sz="18" w:space="0" w:color="000000" w:themeColor="text1"/>
            </w:tcBorders>
            <w:vAlign w:val="center"/>
          </w:tcPr>
          <w:p w:rsidR="00545B43" w:rsidRPr="006A2518" w:rsidRDefault="00545B43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6A2518">
              <w:rPr>
                <w:noProof/>
                <w:sz w:val="24"/>
                <w:szCs w:val="24"/>
              </w:rPr>
              <w:t>Kierunek przewodzenia R</w:t>
            </w:r>
            <w:r w:rsidRPr="006A2518">
              <w:rPr>
                <w:noProof/>
                <w:sz w:val="24"/>
                <w:szCs w:val="24"/>
                <w:vertAlign w:val="subscript"/>
              </w:rPr>
              <w:t>1</w:t>
            </w:r>
            <w:r w:rsidRPr="006A2518">
              <w:rPr>
                <w:noProof/>
                <w:sz w:val="24"/>
                <w:szCs w:val="24"/>
              </w:rPr>
              <w:t>=1,2Ω</w:t>
            </w:r>
          </w:p>
        </w:tc>
        <w:tc>
          <w:tcPr>
            <w:tcW w:w="4961" w:type="dxa"/>
            <w:gridSpan w:val="4"/>
            <w:tcBorders>
              <w:left w:val="single" w:sz="18" w:space="0" w:color="000000" w:themeColor="text1"/>
            </w:tcBorders>
            <w:vAlign w:val="center"/>
          </w:tcPr>
          <w:p w:rsidR="00545B43" w:rsidRPr="00545B43" w:rsidRDefault="00545B43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Kierunek zapowory R</w:t>
            </w:r>
            <w:r>
              <w:rPr>
                <w:noProof/>
                <w:sz w:val="24"/>
                <w:szCs w:val="24"/>
                <w:vertAlign w:val="subscript"/>
              </w:rPr>
              <w:t>2</w:t>
            </w:r>
            <w:r>
              <w:rPr>
                <w:noProof/>
                <w:sz w:val="24"/>
                <w:szCs w:val="24"/>
              </w:rPr>
              <w:t>=1000Ω</w:t>
            </w:r>
          </w:p>
        </w:tc>
      </w:tr>
      <w:tr w:rsidR="00EE339B" w:rsidTr="00DC68A0">
        <w:trPr>
          <w:trHeight w:hRule="exact" w:val="397"/>
        </w:trPr>
        <w:tc>
          <w:tcPr>
            <w:tcW w:w="1065" w:type="dxa"/>
            <w:vAlign w:val="center"/>
          </w:tcPr>
          <w:p w:rsidR="00545B43" w:rsidRPr="00A530CE" w:rsidRDefault="00A530CE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</w:t>
            </w:r>
            <w:r>
              <w:rPr>
                <w:noProof/>
                <w:sz w:val="24"/>
                <w:szCs w:val="24"/>
                <w:vertAlign w:val="subscript"/>
              </w:rPr>
              <w:t>d</w:t>
            </w:r>
            <w:r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992" w:type="dxa"/>
            <w:vAlign w:val="center"/>
          </w:tcPr>
          <w:p w:rsidR="00545B43" w:rsidRPr="00A530CE" w:rsidRDefault="00A530CE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</w:t>
            </w:r>
            <w:r>
              <w:rPr>
                <w:noProof/>
                <w:sz w:val="24"/>
                <w:szCs w:val="24"/>
                <w:vertAlign w:val="subscript"/>
              </w:rPr>
              <w:t>1</w:t>
            </w:r>
            <w:r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850" w:type="dxa"/>
            <w:vAlign w:val="center"/>
          </w:tcPr>
          <w:p w:rsidR="00545B43" w:rsidRDefault="00A530CE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 [ºC]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  <w:vAlign w:val="center"/>
          </w:tcPr>
          <w:p w:rsidR="00545B43" w:rsidRPr="006A2518" w:rsidRDefault="00A530CE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 w:rsidRPr="006A2518">
              <w:rPr>
                <w:noProof/>
                <w:sz w:val="24"/>
                <w:szCs w:val="24"/>
              </w:rPr>
              <w:t>I</w:t>
            </w:r>
            <w:r w:rsidRPr="006A2518">
              <w:rPr>
                <w:noProof/>
                <w:sz w:val="24"/>
                <w:szCs w:val="24"/>
                <w:vertAlign w:val="subscript"/>
              </w:rPr>
              <w:t>d</w:t>
            </w:r>
            <w:r w:rsidRPr="006A2518">
              <w:rPr>
                <w:noProof/>
                <w:sz w:val="24"/>
                <w:szCs w:val="24"/>
              </w:rPr>
              <w:t>=U</w:t>
            </w:r>
            <w:r w:rsidRPr="006A2518">
              <w:rPr>
                <w:noProof/>
                <w:sz w:val="24"/>
                <w:szCs w:val="24"/>
                <w:vertAlign w:val="subscript"/>
              </w:rPr>
              <w:t>1</w:t>
            </w:r>
            <w:r w:rsidRPr="006A2518">
              <w:rPr>
                <w:noProof/>
                <w:sz w:val="24"/>
                <w:szCs w:val="24"/>
              </w:rPr>
              <w:t>/R</w:t>
            </w:r>
            <w:r w:rsidRPr="006A2518">
              <w:rPr>
                <w:noProof/>
                <w:sz w:val="24"/>
                <w:szCs w:val="24"/>
                <w:vertAlign w:val="subscript"/>
              </w:rPr>
              <w:t>1</w:t>
            </w:r>
            <w:r w:rsidRPr="006A2518">
              <w:rPr>
                <w:noProof/>
                <w:sz w:val="24"/>
                <w:szCs w:val="24"/>
              </w:rPr>
              <w:t xml:space="preserve"> [mA]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  <w:vAlign w:val="center"/>
          </w:tcPr>
          <w:p w:rsidR="00545B43" w:rsidRPr="00D67C0D" w:rsidRDefault="00D67C0D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</w:t>
            </w:r>
            <w:r>
              <w:rPr>
                <w:noProof/>
                <w:sz w:val="24"/>
                <w:szCs w:val="24"/>
                <w:vertAlign w:val="subscript"/>
              </w:rPr>
              <w:t>d</w:t>
            </w:r>
            <w:r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1134" w:type="dxa"/>
            <w:vAlign w:val="center"/>
          </w:tcPr>
          <w:p w:rsidR="00545B43" w:rsidRPr="00D67C0D" w:rsidRDefault="00D67C0D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</w:t>
            </w:r>
            <w:r>
              <w:rPr>
                <w:noProof/>
                <w:sz w:val="24"/>
                <w:szCs w:val="24"/>
                <w:vertAlign w:val="subscript"/>
              </w:rPr>
              <w:t>2</w:t>
            </w:r>
            <w:r>
              <w:rPr>
                <w:noProof/>
                <w:sz w:val="24"/>
                <w:szCs w:val="24"/>
              </w:rPr>
              <w:t xml:space="preserve"> [mV]</w:t>
            </w:r>
          </w:p>
        </w:tc>
        <w:tc>
          <w:tcPr>
            <w:tcW w:w="993" w:type="dxa"/>
            <w:vAlign w:val="center"/>
          </w:tcPr>
          <w:p w:rsidR="00545B43" w:rsidRDefault="00D67C0D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 [ºC]</w:t>
            </w:r>
          </w:p>
        </w:tc>
        <w:tc>
          <w:tcPr>
            <w:tcW w:w="1842" w:type="dxa"/>
            <w:vAlign w:val="center"/>
          </w:tcPr>
          <w:p w:rsidR="00545B43" w:rsidRPr="00D67C0D" w:rsidRDefault="00D67C0D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</w:t>
            </w:r>
            <w:r>
              <w:rPr>
                <w:noProof/>
                <w:sz w:val="24"/>
                <w:szCs w:val="24"/>
                <w:vertAlign w:val="subscript"/>
              </w:rPr>
              <w:t>d</w:t>
            </w:r>
            <w:r>
              <w:rPr>
                <w:noProof/>
                <w:sz w:val="24"/>
                <w:szCs w:val="24"/>
              </w:rPr>
              <w:t>=U</w:t>
            </w:r>
            <w:r>
              <w:rPr>
                <w:noProof/>
                <w:sz w:val="24"/>
                <w:szCs w:val="24"/>
                <w:vertAlign w:val="subscript"/>
              </w:rPr>
              <w:t>2</w:t>
            </w:r>
            <w:r>
              <w:rPr>
                <w:noProof/>
                <w:sz w:val="24"/>
                <w:szCs w:val="24"/>
              </w:rPr>
              <w:t>/R</w:t>
            </w:r>
            <w:r>
              <w:rPr>
                <w:noProof/>
                <w:sz w:val="24"/>
                <w:szCs w:val="24"/>
                <w:vertAlign w:val="subscript"/>
              </w:rPr>
              <w:t>2</w:t>
            </w:r>
            <w:r w:rsidR="00EE339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[mA]</w:t>
            </w:r>
          </w:p>
        </w:tc>
      </w:tr>
      <w:tr w:rsidR="00EE339B" w:rsidTr="00DC68A0">
        <w:trPr>
          <w:trHeight w:hRule="exact" w:val="397"/>
        </w:trPr>
        <w:tc>
          <w:tcPr>
            <w:tcW w:w="1065" w:type="dxa"/>
            <w:vAlign w:val="center"/>
          </w:tcPr>
          <w:p w:rsidR="00545B43" w:rsidRDefault="00DC68A0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0,770</w:t>
            </w:r>
          </w:p>
        </w:tc>
        <w:tc>
          <w:tcPr>
            <w:tcW w:w="992" w:type="dxa"/>
            <w:vAlign w:val="center"/>
          </w:tcPr>
          <w:p w:rsidR="00545B43" w:rsidRDefault="00F20443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545B43" w:rsidRDefault="00F20443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17,3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  <w:vAlign w:val="center"/>
          </w:tcPr>
          <w:p w:rsidR="00545B43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  <w:vAlign w:val="center"/>
          </w:tcPr>
          <w:p w:rsidR="00545B43" w:rsidRDefault="005056A2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545B43" w:rsidRDefault="005056A2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41</w:t>
            </w:r>
          </w:p>
        </w:tc>
        <w:tc>
          <w:tcPr>
            <w:tcW w:w="993" w:type="dxa"/>
            <w:vAlign w:val="center"/>
          </w:tcPr>
          <w:p w:rsidR="00545B43" w:rsidRDefault="005056A2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80</w:t>
            </w:r>
          </w:p>
        </w:tc>
        <w:tc>
          <w:tcPr>
            <w:tcW w:w="1842" w:type="dxa"/>
            <w:vAlign w:val="center"/>
          </w:tcPr>
          <w:p w:rsidR="00545B43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0,0410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0,760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75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0,0320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0,753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0,0250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0,744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0,0170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0,735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13,8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60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0,0138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0,727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55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0,0100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0,718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7,8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0,0078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0,707</w:t>
            </w:r>
          </w:p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7070,9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45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0,0060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0,698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40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0,0045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0,686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0,0037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0,675</w:t>
            </w:r>
          </w:p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0,0031</w:t>
            </w:r>
          </w:p>
        </w:tc>
      </w:tr>
      <w:tr w:rsidR="001506CA" w:rsidTr="0034343D">
        <w:trPr>
          <w:trHeight w:hRule="exact" w:val="397"/>
        </w:trPr>
        <w:tc>
          <w:tcPr>
            <w:tcW w:w="1065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0,665</w:t>
            </w:r>
          </w:p>
        </w:tc>
        <w:tc>
          <w:tcPr>
            <w:tcW w:w="992" w:type="dxa"/>
          </w:tcPr>
          <w:p w:rsidR="001506CA" w:rsidRDefault="001506CA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left w:val="single" w:sz="18" w:space="0" w:color="000000" w:themeColor="text1"/>
            </w:tcBorders>
          </w:tcPr>
          <w:p w:rsidR="001506CA" w:rsidRDefault="001506CA" w:rsidP="00A30039">
            <w:pPr>
              <w:jc w:val="center"/>
            </w:pPr>
            <w:r w:rsidRPr="00645D61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2,8</w:t>
            </w:r>
          </w:p>
        </w:tc>
        <w:tc>
          <w:tcPr>
            <w:tcW w:w="993" w:type="dxa"/>
            <w:vAlign w:val="center"/>
          </w:tcPr>
          <w:p w:rsidR="001506CA" w:rsidRDefault="001506CA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842" w:type="dxa"/>
            <w:vAlign w:val="center"/>
          </w:tcPr>
          <w:p w:rsidR="001506CA" w:rsidRDefault="00A340D5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0,0028</w:t>
            </w:r>
          </w:p>
        </w:tc>
      </w:tr>
      <w:tr w:rsidR="006D4E81" w:rsidTr="00E964DB">
        <w:trPr>
          <w:trHeight w:hRule="exact" w:val="397"/>
        </w:trPr>
        <w:tc>
          <w:tcPr>
            <w:tcW w:w="1065" w:type="dxa"/>
            <w:vAlign w:val="center"/>
          </w:tcPr>
          <w:p w:rsidR="006D4E81" w:rsidRDefault="006D4E81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0,655</w:t>
            </w:r>
          </w:p>
        </w:tc>
        <w:tc>
          <w:tcPr>
            <w:tcW w:w="992" w:type="dxa"/>
          </w:tcPr>
          <w:p w:rsidR="006D4E81" w:rsidRDefault="006D4E81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6D4E81" w:rsidRDefault="006D4E81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6D4E81" w:rsidRDefault="006D4E81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4961" w:type="dxa"/>
            <w:gridSpan w:val="4"/>
            <w:vMerge w:val="restart"/>
            <w:tcBorders>
              <w:left w:val="single" w:sz="18" w:space="0" w:color="000000" w:themeColor="text1"/>
            </w:tcBorders>
          </w:tcPr>
          <w:p w:rsidR="006D4E81" w:rsidRDefault="006D4E81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</w:tr>
      <w:tr w:rsidR="006D4E81" w:rsidTr="00E964DB">
        <w:trPr>
          <w:trHeight w:hRule="exact" w:val="397"/>
        </w:trPr>
        <w:tc>
          <w:tcPr>
            <w:tcW w:w="1065" w:type="dxa"/>
            <w:vAlign w:val="center"/>
          </w:tcPr>
          <w:p w:rsidR="006D4E81" w:rsidRDefault="006D4E81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0,644</w:t>
            </w:r>
          </w:p>
        </w:tc>
        <w:tc>
          <w:tcPr>
            <w:tcW w:w="992" w:type="dxa"/>
          </w:tcPr>
          <w:p w:rsidR="006D4E81" w:rsidRDefault="006D4E81" w:rsidP="00A30039">
            <w:pPr>
              <w:jc w:val="center"/>
            </w:pPr>
            <w:r w:rsidRPr="00961DAC">
              <w:rPr>
                <w:noProof/>
                <w:sz w:val="24"/>
                <w:szCs w:val="24"/>
              </w:rPr>
              <w:t>0,24</w:t>
            </w:r>
          </w:p>
        </w:tc>
        <w:tc>
          <w:tcPr>
            <w:tcW w:w="850" w:type="dxa"/>
            <w:vAlign w:val="center"/>
          </w:tcPr>
          <w:p w:rsidR="006D4E81" w:rsidRDefault="006D4E81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right w:val="single" w:sz="18" w:space="0" w:color="000000" w:themeColor="text1"/>
            </w:tcBorders>
          </w:tcPr>
          <w:p w:rsidR="006D4E81" w:rsidRDefault="006D4E81" w:rsidP="00A30039">
            <w:pPr>
              <w:jc w:val="center"/>
            </w:pPr>
            <w:r w:rsidRPr="005E74B2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4961" w:type="dxa"/>
            <w:gridSpan w:val="4"/>
            <w:vMerge/>
            <w:tcBorders>
              <w:left w:val="single" w:sz="18" w:space="0" w:color="000000" w:themeColor="text1"/>
            </w:tcBorders>
          </w:tcPr>
          <w:p w:rsidR="006D4E81" w:rsidRDefault="006D4E81" w:rsidP="00A30039">
            <w:pPr>
              <w:pStyle w:val="Style1"/>
              <w:spacing w:after="144" w:line="240" w:lineRule="auto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17552C" w:rsidRDefault="0017552C" w:rsidP="00A30039">
      <w:pPr>
        <w:pStyle w:val="Style1"/>
        <w:spacing w:after="144" w:line="240" w:lineRule="auto"/>
        <w:rPr>
          <w:noProof/>
          <w:sz w:val="24"/>
          <w:szCs w:val="24"/>
        </w:rPr>
      </w:pPr>
    </w:p>
    <w:p w:rsidR="00270688" w:rsidRDefault="00DF52FB" w:rsidP="00A30039">
      <w:pPr>
        <w:pStyle w:val="Style1"/>
        <w:spacing w:after="144" w:line="240" w:lineRule="auto"/>
        <w:jc w:val="center"/>
        <w:rPr>
          <w:noProof/>
          <w:sz w:val="24"/>
          <w:szCs w:val="24"/>
        </w:rPr>
      </w:pPr>
      <w:r w:rsidRPr="001428CD">
        <w:rPr>
          <w:noProof/>
          <w:position w:val="-30"/>
          <w:sz w:val="24"/>
          <w:szCs w:val="24"/>
        </w:rPr>
        <w:object w:dxaOrig="26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3pt;height:38.05pt" o:ole="">
            <v:imagedata r:id="rId7" o:title=""/>
          </v:shape>
          <o:OLEObject Type="Embed" ProgID="Equation.3" ShapeID="_x0000_i1025" DrawAspect="Content" ObjectID="_1327920832" r:id="rId8"/>
        </w:object>
      </w:r>
      <w:r w:rsidR="00C0508B">
        <w:rPr>
          <w:noProof/>
          <w:sz w:val="24"/>
          <w:szCs w:val="24"/>
        </w:rPr>
        <w:t xml:space="preserve"> </w:t>
      </w:r>
      <w:r w:rsidR="001428CD">
        <w:rPr>
          <w:noProof/>
          <w:sz w:val="24"/>
          <w:szCs w:val="24"/>
        </w:rPr>
        <w:t xml:space="preserve">                                </w:t>
      </w:r>
      <w:r w:rsidRPr="001428CD">
        <w:rPr>
          <w:noProof/>
          <w:position w:val="-30"/>
          <w:sz w:val="24"/>
          <w:szCs w:val="24"/>
        </w:rPr>
        <w:object w:dxaOrig="2820" w:dyaOrig="680">
          <v:shape id="_x0000_i1026" type="#_x0000_t75" style="width:158.95pt;height:38.7pt" o:ole="">
            <v:imagedata r:id="rId9" o:title=""/>
          </v:shape>
          <o:OLEObject Type="Embed" ProgID="Equation.3" ShapeID="_x0000_i1026" DrawAspect="Content" ObjectID="_1327920833" r:id="rId10"/>
        </w:object>
      </w:r>
    </w:p>
    <w:p w:rsidR="00146FDE" w:rsidRDefault="00146FDE" w:rsidP="00A30039">
      <w:pPr>
        <w:pStyle w:val="Style1"/>
        <w:spacing w:after="144" w:line="240" w:lineRule="auto"/>
        <w:rPr>
          <w:b/>
          <w:noProof/>
          <w:sz w:val="24"/>
          <w:szCs w:val="24"/>
        </w:rPr>
      </w:pPr>
    </w:p>
    <w:p w:rsidR="00270754" w:rsidRDefault="00270754" w:rsidP="00A30039">
      <w:pPr>
        <w:pStyle w:val="Style1"/>
        <w:spacing w:after="144" w:line="240" w:lineRule="auto"/>
        <w:rPr>
          <w:b/>
          <w:noProof/>
          <w:sz w:val="24"/>
          <w:szCs w:val="24"/>
        </w:rPr>
      </w:pPr>
    </w:p>
    <w:p w:rsidR="00270754" w:rsidRDefault="00270754" w:rsidP="00A30039">
      <w:pPr>
        <w:pStyle w:val="Style1"/>
        <w:spacing w:after="144" w:line="240" w:lineRule="auto"/>
        <w:rPr>
          <w:b/>
          <w:noProof/>
          <w:sz w:val="24"/>
          <w:szCs w:val="24"/>
        </w:rPr>
      </w:pPr>
    </w:p>
    <w:p w:rsidR="00270754" w:rsidRDefault="00270754" w:rsidP="00A30039">
      <w:pPr>
        <w:pStyle w:val="Style1"/>
        <w:spacing w:after="144" w:line="240" w:lineRule="auto"/>
        <w:rPr>
          <w:b/>
          <w:noProof/>
          <w:sz w:val="24"/>
          <w:szCs w:val="24"/>
        </w:rPr>
      </w:pPr>
    </w:p>
    <w:p w:rsidR="009849FB" w:rsidRDefault="009849FB" w:rsidP="004D766E">
      <w:pPr>
        <w:rPr>
          <w:b/>
          <w:noProof/>
          <w:color w:val="000000"/>
        </w:rPr>
      </w:pPr>
    </w:p>
    <w:p w:rsidR="009849FB" w:rsidRDefault="009849FB" w:rsidP="004D766E"/>
    <w:p w:rsidR="009849FB" w:rsidRPr="004D766E" w:rsidRDefault="009849FB" w:rsidP="004D766E"/>
    <w:p w:rsidR="001A6017" w:rsidRDefault="00055CF1" w:rsidP="001A6017">
      <w:pPr>
        <w:pStyle w:val="Style1"/>
        <w:numPr>
          <w:ilvl w:val="0"/>
          <w:numId w:val="1"/>
        </w:numPr>
        <w:spacing w:after="144"/>
        <w:rPr>
          <w:b/>
          <w:noProof/>
          <w:sz w:val="24"/>
          <w:szCs w:val="24"/>
        </w:rPr>
      </w:pPr>
      <w:r w:rsidRPr="00055CF1">
        <w:rPr>
          <w:b/>
          <w:noProof/>
          <w:sz w:val="24"/>
          <w:szCs w:val="24"/>
        </w:rPr>
        <w:lastRenderedPageBreak/>
        <w:t>Wykresy</w:t>
      </w:r>
    </w:p>
    <w:p w:rsidR="00660BC6" w:rsidRDefault="001A6017" w:rsidP="00633A6D">
      <w:pPr>
        <w:pStyle w:val="Style1"/>
        <w:spacing w:line="240" w:lineRule="auto"/>
        <w:ind w:left="0"/>
        <w:rPr>
          <w:b/>
          <w:noProof/>
          <w:sz w:val="24"/>
          <w:szCs w:val="24"/>
        </w:rPr>
      </w:pPr>
      <w:r w:rsidRPr="00571B83">
        <w:rPr>
          <w:noProof/>
          <w:sz w:val="24"/>
          <w:szCs w:val="24"/>
        </w:rPr>
        <w:drawing>
          <wp:inline distT="0" distB="0" distL="0" distR="0">
            <wp:extent cx="5750117" cy="3200400"/>
            <wp:effectExtent l="0" t="0" r="2983" b="0"/>
            <wp:docPr id="7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849FB" w:rsidRDefault="009849FB" w:rsidP="00633A6D">
      <w:pPr>
        <w:pStyle w:val="Style1"/>
        <w:spacing w:line="240" w:lineRule="auto"/>
        <w:ind w:left="0"/>
        <w:rPr>
          <w:b/>
          <w:noProof/>
          <w:sz w:val="24"/>
          <w:szCs w:val="24"/>
        </w:rPr>
      </w:pPr>
    </w:p>
    <w:p w:rsidR="009849FB" w:rsidRDefault="009849FB" w:rsidP="00633A6D">
      <w:pPr>
        <w:pStyle w:val="Style1"/>
        <w:spacing w:line="240" w:lineRule="auto"/>
        <w:ind w:left="0"/>
        <w:rPr>
          <w:b/>
          <w:noProof/>
          <w:sz w:val="24"/>
          <w:szCs w:val="24"/>
        </w:rPr>
      </w:pPr>
    </w:p>
    <w:p w:rsidR="009849FB" w:rsidRPr="00633A6D" w:rsidRDefault="009849FB" w:rsidP="00633A6D">
      <w:pPr>
        <w:pStyle w:val="Style1"/>
        <w:spacing w:line="240" w:lineRule="auto"/>
        <w:ind w:left="0"/>
        <w:rPr>
          <w:b/>
          <w:noProof/>
          <w:sz w:val="24"/>
          <w:szCs w:val="24"/>
        </w:rPr>
      </w:pPr>
    </w:p>
    <w:p w:rsidR="009849FB" w:rsidRDefault="00290738" w:rsidP="001923D3">
      <w:pPr>
        <w:pStyle w:val="Style1"/>
        <w:spacing w:after="144"/>
        <w:rPr>
          <w:noProof/>
          <w:sz w:val="24"/>
          <w:szCs w:val="24"/>
        </w:rPr>
      </w:pPr>
      <w:r w:rsidRPr="00290738">
        <w:rPr>
          <w:noProof/>
          <w:sz w:val="24"/>
          <w:szCs w:val="24"/>
        </w:rPr>
        <w:drawing>
          <wp:inline distT="0" distB="0" distL="0" distR="0">
            <wp:extent cx="6200596" cy="3743864"/>
            <wp:effectExtent l="19050" t="0" r="0" b="0"/>
            <wp:docPr id="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7639F" w:rsidRPr="001923D3" w:rsidRDefault="00A30039" w:rsidP="003E1C1C">
      <w:pPr>
        <w:pStyle w:val="Style1"/>
        <w:numPr>
          <w:ilvl w:val="0"/>
          <w:numId w:val="1"/>
        </w:numPr>
        <w:spacing w:after="144" w:line="240" w:lineRule="auto"/>
        <w:rPr>
          <w:b/>
          <w:noProof/>
          <w:sz w:val="24"/>
          <w:szCs w:val="24"/>
        </w:rPr>
      </w:pPr>
      <w:r w:rsidRPr="001923D3">
        <w:rPr>
          <w:b/>
          <w:noProof/>
          <w:sz w:val="24"/>
          <w:szCs w:val="24"/>
        </w:rPr>
        <w:t>Wnioski</w:t>
      </w:r>
    </w:p>
    <w:p w:rsidR="0077639F" w:rsidRPr="009849FB" w:rsidRDefault="0077639F" w:rsidP="009849FB">
      <w:pPr>
        <w:pStyle w:val="Style1"/>
        <w:spacing w:after="144" w:line="240" w:lineRule="auto"/>
        <w:ind w:left="0"/>
        <w:rPr>
          <w:noProof/>
          <w:sz w:val="24"/>
          <w:szCs w:val="24"/>
        </w:rPr>
      </w:pPr>
      <w:r w:rsidRPr="003E1C1C">
        <w:rPr>
          <w:sz w:val="24"/>
        </w:rPr>
        <w:t xml:space="preserve">Z charakterystyki U=f(T) złącza </w:t>
      </w:r>
      <w:r w:rsidR="00ED29D8" w:rsidRPr="003E1C1C">
        <w:rPr>
          <w:sz w:val="24"/>
        </w:rPr>
        <w:t>p-n wynika</w:t>
      </w:r>
      <w:r w:rsidRPr="003E1C1C">
        <w:rPr>
          <w:sz w:val="24"/>
        </w:rPr>
        <w:t>, że wraz ze wzrostem temperatury napięcie na diodzie spada, czyli wraz ze wzrostem temperatury wzrasta konduktywność złącza.</w:t>
      </w:r>
      <w:r w:rsidR="00706D0C">
        <w:rPr>
          <w:sz w:val="24"/>
        </w:rPr>
        <w:t xml:space="preserve"> </w:t>
      </w:r>
      <w:r w:rsidR="00D115DE">
        <w:rPr>
          <w:sz w:val="24"/>
        </w:rPr>
        <w:t xml:space="preserve">Natomiast z wykresu </w:t>
      </w:r>
      <w:r w:rsidR="009E5062">
        <w:rPr>
          <w:sz w:val="24"/>
        </w:rPr>
        <w:t xml:space="preserve">I=f(T) </w:t>
      </w:r>
      <w:r w:rsidR="00617319">
        <w:rPr>
          <w:sz w:val="24"/>
        </w:rPr>
        <w:t xml:space="preserve">wynika, </w:t>
      </w:r>
      <w:r w:rsidR="009E5062" w:rsidRPr="009E5062">
        <w:rPr>
          <w:sz w:val="24"/>
          <w:szCs w:val="24"/>
        </w:rPr>
        <w:t>że wraz ze wzrostem temperatury wzrasta prąd wsteczny diody</w:t>
      </w:r>
      <w:r w:rsidR="00617319" w:rsidRPr="009E5062">
        <w:rPr>
          <w:sz w:val="24"/>
          <w:szCs w:val="24"/>
        </w:rPr>
        <w:t>.</w:t>
      </w:r>
      <w:r w:rsidR="00CB44E5">
        <w:rPr>
          <w:sz w:val="24"/>
          <w:szCs w:val="24"/>
        </w:rPr>
        <w:t xml:space="preserve"> </w:t>
      </w:r>
    </w:p>
    <w:sectPr w:rsidR="0077639F" w:rsidRPr="009849FB" w:rsidSect="001A6017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F6E" w:rsidRDefault="006A0F6E" w:rsidP="006D3527">
      <w:r>
        <w:separator/>
      </w:r>
    </w:p>
  </w:endnote>
  <w:endnote w:type="continuationSeparator" w:id="0">
    <w:p w:rsidR="006A0F6E" w:rsidRDefault="006A0F6E" w:rsidP="006D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F6E" w:rsidRDefault="006A0F6E" w:rsidP="006D3527">
      <w:r>
        <w:separator/>
      </w:r>
    </w:p>
  </w:footnote>
  <w:footnote w:type="continuationSeparator" w:id="0">
    <w:p w:rsidR="006A0F6E" w:rsidRDefault="006A0F6E" w:rsidP="006D35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C3FB0"/>
    <w:multiLevelType w:val="hybridMultilevel"/>
    <w:tmpl w:val="2CEE267A"/>
    <w:lvl w:ilvl="0" w:tplc="30D24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F766F"/>
    <w:multiLevelType w:val="hybridMultilevel"/>
    <w:tmpl w:val="EC5888A0"/>
    <w:lvl w:ilvl="0" w:tplc="F15290B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24342B36">
      <w:numFmt w:val="none"/>
      <w:lvlText w:val=""/>
      <w:lvlJc w:val="left"/>
      <w:pPr>
        <w:tabs>
          <w:tab w:val="num" w:pos="360"/>
        </w:tabs>
      </w:pPr>
    </w:lvl>
    <w:lvl w:ilvl="2" w:tplc="0F881BB2">
      <w:numFmt w:val="none"/>
      <w:lvlText w:val=""/>
      <w:lvlJc w:val="left"/>
      <w:pPr>
        <w:tabs>
          <w:tab w:val="num" w:pos="360"/>
        </w:tabs>
      </w:pPr>
    </w:lvl>
    <w:lvl w:ilvl="3" w:tplc="D3981A3E">
      <w:numFmt w:val="none"/>
      <w:lvlText w:val=""/>
      <w:lvlJc w:val="left"/>
      <w:pPr>
        <w:tabs>
          <w:tab w:val="num" w:pos="360"/>
        </w:tabs>
      </w:pPr>
    </w:lvl>
    <w:lvl w:ilvl="4" w:tplc="1158AFB8">
      <w:numFmt w:val="none"/>
      <w:lvlText w:val=""/>
      <w:lvlJc w:val="left"/>
      <w:pPr>
        <w:tabs>
          <w:tab w:val="num" w:pos="360"/>
        </w:tabs>
      </w:pPr>
    </w:lvl>
    <w:lvl w:ilvl="5" w:tplc="B0B21478">
      <w:numFmt w:val="none"/>
      <w:lvlText w:val=""/>
      <w:lvlJc w:val="left"/>
      <w:pPr>
        <w:tabs>
          <w:tab w:val="num" w:pos="360"/>
        </w:tabs>
      </w:pPr>
    </w:lvl>
    <w:lvl w:ilvl="6" w:tplc="C54A43C2">
      <w:numFmt w:val="none"/>
      <w:lvlText w:val=""/>
      <w:lvlJc w:val="left"/>
      <w:pPr>
        <w:tabs>
          <w:tab w:val="num" w:pos="360"/>
        </w:tabs>
      </w:pPr>
    </w:lvl>
    <w:lvl w:ilvl="7" w:tplc="F6800EAA">
      <w:numFmt w:val="none"/>
      <w:lvlText w:val=""/>
      <w:lvlJc w:val="left"/>
      <w:pPr>
        <w:tabs>
          <w:tab w:val="num" w:pos="360"/>
        </w:tabs>
      </w:pPr>
    </w:lvl>
    <w:lvl w:ilvl="8" w:tplc="EA84563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D83057B"/>
    <w:multiLevelType w:val="hybridMultilevel"/>
    <w:tmpl w:val="4F02580A"/>
    <w:lvl w:ilvl="0" w:tplc="48B8099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CBE"/>
    <w:rsid w:val="00006E17"/>
    <w:rsid w:val="00025B96"/>
    <w:rsid w:val="0002690D"/>
    <w:rsid w:val="00055CF1"/>
    <w:rsid w:val="00061B73"/>
    <w:rsid w:val="00080C62"/>
    <w:rsid w:val="0009557B"/>
    <w:rsid w:val="000A3A43"/>
    <w:rsid w:val="000C096E"/>
    <w:rsid w:val="000D4A0E"/>
    <w:rsid w:val="001428CD"/>
    <w:rsid w:val="0014441A"/>
    <w:rsid w:val="00146FDE"/>
    <w:rsid w:val="00147C55"/>
    <w:rsid w:val="001506CA"/>
    <w:rsid w:val="00166F66"/>
    <w:rsid w:val="0017552C"/>
    <w:rsid w:val="001804ED"/>
    <w:rsid w:val="0019030B"/>
    <w:rsid w:val="001916A7"/>
    <w:rsid w:val="001923D3"/>
    <w:rsid w:val="00192A63"/>
    <w:rsid w:val="00194A34"/>
    <w:rsid w:val="001A6017"/>
    <w:rsid w:val="001A7BB2"/>
    <w:rsid w:val="001C2A02"/>
    <w:rsid w:val="001E0DCE"/>
    <w:rsid w:val="001E50EA"/>
    <w:rsid w:val="001E5DAD"/>
    <w:rsid w:val="00203ADF"/>
    <w:rsid w:val="00206B13"/>
    <w:rsid w:val="00227ADD"/>
    <w:rsid w:val="00257136"/>
    <w:rsid w:val="0026685B"/>
    <w:rsid w:val="00270688"/>
    <w:rsid w:val="00270754"/>
    <w:rsid w:val="00290738"/>
    <w:rsid w:val="00295091"/>
    <w:rsid w:val="002967A1"/>
    <w:rsid w:val="002A57AB"/>
    <w:rsid w:val="002B714B"/>
    <w:rsid w:val="002C2445"/>
    <w:rsid w:val="002E1363"/>
    <w:rsid w:val="002E61E4"/>
    <w:rsid w:val="002F7487"/>
    <w:rsid w:val="003324D9"/>
    <w:rsid w:val="003369A3"/>
    <w:rsid w:val="0033736E"/>
    <w:rsid w:val="003748BF"/>
    <w:rsid w:val="003752D7"/>
    <w:rsid w:val="00380635"/>
    <w:rsid w:val="003B2F66"/>
    <w:rsid w:val="003B3875"/>
    <w:rsid w:val="003C290D"/>
    <w:rsid w:val="003D2B8A"/>
    <w:rsid w:val="003E1C1C"/>
    <w:rsid w:val="003E5F36"/>
    <w:rsid w:val="00420F6D"/>
    <w:rsid w:val="00443488"/>
    <w:rsid w:val="004705A4"/>
    <w:rsid w:val="00477F34"/>
    <w:rsid w:val="004968BA"/>
    <w:rsid w:val="004B7E21"/>
    <w:rsid w:val="004D766E"/>
    <w:rsid w:val="004E6AB8"/>
    <w:rsid w:val="005056A2"/>
    <w:rsid w:val="00531044"/>
    <w:rsid w:val="0053126E"/>
    <w:rsid w:val="00534200"/>
    <w:rsid w:val="00545B43"/>
    <w:rsid w:val="00566EAE"/>
    <w:rsid w:val="0057183C"/>
    <w:rsid w:val="00571B83"/>
    <w:rsid w:val="005D602F"/>
    <w:rsid w:val="005D72B2"/>
    <w:rsid w:val="00617319"/>
    <w:rsid w:val="00626EA9"/>
    <w:rsid w:val="00632186"/>
    <w:rsid w:val="00632715"/>
    <w:rsid w:val="00633A6D"/>
    <w:rsid w:val="00634545"/>
    <w:rsid w:val="006449D3"/>
    <w:rsid w:val="00660BC6"/>
    <w:rsid w:val="00687481"/>
    <w:rsid w:val="00690A77"/>
    <w:rsid w:val="00696FA3"/>
    <w:rsid w:val="006A0F6E"/>
    <w:rsid w:val="006A2518"/>
    <w:rsid w:val="006B7E88"/>
    <w:rsid w:val="006C36A1"/>
    <w:rsid w:val="006C7FCA"/>
    <w:rsid w:val="006D3527"/>
    <w:rsid w:val="006D4E81"/>
    <w:rsid w:val="006D5F55"/>
    <w:rsid w:val="006D5FCA"/>
    <w:rsid w:val="006D6108"/>
    <w:rsid w:val="00700174"/>
    <w:rsid w:val="00706D0C"/>
    <w:rsid w:val="00736FA2"/>
    <w:rsid w:val="00741FD5"/>
    <w:rsid w:val="007421DA"/>
    <w:rsid w:val="007515C3"/>
    <w:rsid w:val="00763F41"/>
    <w:rsid w:val="0077639F"/>
    <w:rsid w:val="007A2EE7"/>
    <w:rsid w:val="007A5B1E"/>
    <w:rsid w:val="007D7904"/>
    <w:rsid w:val="007E36EF"/>
    <w:rsid w:val="007F3298"/>
    <w:rsid w:val="007F3FFC"/>
    <w:rsid w:val="00822B98"/>
    <w:rsid w:val="00851D53"/>
    <w:rsid w:val="0085679F"/>
    <w:rsid w:val="00856950"/>
    <w:rsid w:val="008843F9"/>
    <w:rsid w:val="008B0F5F"/>
    <w:rsid w:val="008D0269"/>
    <w:rsid w:val="008D1467"/>
    <w:rsid w:val="008E00EF"/>
    <w:rsid w:val="008E4734"/>
    <w:rsid w:val="0091505E"/>
    <w:rsid w:val="00924712"/>
    <w:rsid w:val="00970A04"/>
    <w:rsid w:val="009849FB"/>
    <w:rsid w:val="00986908"/>
    <w:rsid w:val="009B19D3"/>
    <w:rsid w:val="009C3E25"/>
    <w:rsid w:val="009D544E"/>
    <w:rsid w:val="009E337B"/>
    <w:rsid w:val="009E5062"/>
    <w:rsid w:val="009E7B13"/>
    <w:rsid w:val="009F0292"/>
    <w:rsid w:val="009F4247"/>
    <w:rsid w:val="009F4489"/>
    <w:rsid w:val="009F65C0"/>
    <w:rsid w:val="00A30039"/>
    <w:rsid w:val="00A340D5"/>
    <w:rsid w:val="00A4783F"/>
    <w:rsid w:val="00A523AF"/>
    <w:rsid w:val="00A530CE"/>
    <w:rsid w:val="00A55C90"/>
    <w:rsid w:val="00A86248"/>
    <w:rsid w:val="00A97118"/>
    <w:rsid w:val="00AB3E0E"/>
    <w:rsid w:val="00AD2D67"/>
    <w:rsid w:val="00AE453D"/>
    <w:rsid w:val="00B1750A"/>
    <w:rsid w:val="00B22D0E"/>
    <w:rsid w:val="00B23289"/>
    <w:rsid w:val="00B439C9"/>
    <w:rsid w:val="00B63552"/>
    <w:rsid w:val="00B92E21"/>
    <w:rsid w:val="00BC21F1"/>
    <w:rsid w:val="00BE262F"/>
    <w:rsid w:val="00BF567D"/>
    <w:rsid w:val="00C0508B"/>
    <w:rsid w:val="00C13CBE"/>
    <w:rsid w:val="00C14425"/>
    <w:rsid w:val="00C179BC"/>
    <w:rsid w:val="00C22A05"/>
    <w:rsid w:val="00C42705"/>
    <w:rsid w:val="00C94FF5"/>
    <w:rsid w:val="00CB15B8"/>
    <w:rsid w:val="00CB44B5"/>
    <w:rsid w:val="00CB44E5"/>
    <w:rsid w:val="00CB4C6F"/>
    <w:rsid w:val="00CB591D"/>
    <w:rsid w:val="00CC5FC4"/>
    <w:rsid w:val="00CE084A"/>
    <w:rsid w:val="00CE7FBC"/>
    <w:rsid w:val="00CF2AF7"/>
    <w:rsid w:val="00CF368F"/>
    <w:rsid w:val="00D04F2B"/>
    <w:rsid w:val="00D115DE"/>
    <w:rsid w:val="00D13525"/>
    <w:rsid w:val="00D2387B"/>
    <w:rsid w:val="00D4291B"/>
    <w:rsid w:val="00D67C0D"/>
    <w:rsid w:val="00D85311"/>
    <w:rsid w:val="00DA7D1D"/>
    <w:rsid w:val="00DB6135"/>
    <w:rsid w:val="00DC68A0"/>
    <w:rsid w:val="00DD0743"/>
    <w:rsid w:val="00DE0678"/>
    <w:rsid w:val="00DE4D34"/>
    <w:rsid w:val="00DF52FB"/>
    <w:rsid w:val="00DF5B30"/>
    <w:rsid w:val="00DF6435"/>
    <w:rsid w:val="00E0200B"/>
    <w:rsid w:val="00E12972"/>
    <w:rsid w:val="00E13898"/>
    <w:rsid w:val="00E459DB"/>
    <w:rsid w:val="00E55508"/>
    <w:rsid w:val="00E64CE2"/>
    <w:rsid w:val="00E93AE9"/>
    <w:rsid w:val="00EA3399"/>
    <w:rsid w:val="00ED29D8"/>
    <w:rsid w:val="00EE339B"/>
    <w:rsid w:val="00EF2386"/>
    <w:rsid w:val="00EF6434"/>
    <w:rsid w:val="00F20443"/>
    <w:rsid w:val="00F36E2A"/>
    <w:rsid w:val="00F40FA0"/>
    <w:rsid w:val="00F42E66"/>
    <w:rsid w:val="00F57703"/>
    <w:rsid w:val="00F60A5E"/>
    <w:rsid w:val="00F75C4F"/>
    <w:rsid w:val="00FB4D1C"/>
    <w:rsid w:val="00FD2C36"/>
    <w:rsid w:val="00FD6997"/>
    <w:rsid w:val="00FE7DD7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3F41"/>
    <w:pPr>
      <w:ind w:left="720"/>
      <w:contextualSpacing/>
    </w:pPr>
  </w:style>
  <w:style w:type="paragraph" w:customStyle="1" w:styleId="Style1">
    <w:name w:val="Style 1"/>
    <w:basedOn w:val="Normalny"/>
    <w:rsid w:val="009E7B13"/>
    <w:pPr>
      <w:widowControl w:val="0"/>
      <w:spacing w:line="360" w:lineRule="auto"/>
      <w:ind w:left="36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77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45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545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45B43"/>
    <w:rPr>
      <w:color w:val="808080"/>
    </w:rPr>
  </w:style>
  <w:style w:type="paragraph" w:styleId="Nagwek">
    <w:name w:val="header"/>
    <w:basedOn w:val="Normalny"/>
    <w:link w:val="NagwekZnak"/>
    <w:uiPriority w:val="99"/>
    <w:semiHidden/>
    <w:unhideWhenUsed/>
    <w:rsid w:val="006D35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35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D35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D35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843F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3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76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7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600"/>
              <a:t>Zależność</a:t>
            </a:r>
            <a:r>
              <a:rPr lang="pl-PL" sz="1600" baseline="0"/>
              <a:t> napięcia na diodzie od temperatury</a:t>
            </a:r>
          </a:p>
          <a:p>
            <a:pPr>
              <a:defRPr/>
            </a:pPr>
            <a:r>
              <a:rPr lang="pl-PL" sz="1600" baseline="0"/>
              <a:t>dla kierunku przewodzenia</a:t>
            </a:r>
            <a:endParaRPr lang="pl-PL" sz="1600"/>
          </a:p>
        </c:rich>
      </c:tx>
      <c:layout>
        <c:manualLayout>
          <c:xMode val="edge"/>
          <c:yMode val="edge"/>
          <c:x val="0.24434763088824452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0.11061921536123774"/>
          <c:y val="6.6260413100536444E-2"/>
          <c:w val="0.85568120596767505"/>
          <c:h val="0.79822506561679785"/>
        </c:manualLayout>
      </c:layout>
      <c:lineChart>
        <c:grouping val="standard"/>
        <c:ser>
          <c:idx val="0"/>
          <c:order val="0"/>
          <c:marker>
            <c:symbol val="circle"/>
            <c:size val="5"/>
          </c:marker>
          <c:cat>
            <c:numRef>
              <c:f>Arkusz1!$B$1:$B$14</c:f>
              <c:numCache>
                <c:formatCode>General</c:formatCode>
                <c:ptCount val="14"/>
                <c:pt idx="0">
                  <c:v>17.3</c:v>
                </c:pt>
                <c:pt idx="1">
                  <c:v>20</c:v>
                </c:pt>
                <c:pt idx="2">
                  <c:v>25</c:v>
                </c:pt>
                <c:pt idx="3">
                  <c:v>30</c:v>
                </c:pt>
                <c:pt idx="4">
                  <c:v>35</c:v>
                </c:pt>
                <c:pt idx="5">
                  <c:v>40</c:v>
                </c:pt>
                <c:pt idx="6">
                  <c:v>45</c:v>
                </c:pt>
                <c:pt idx="7">
                  <c:v>50</c:v>
                </c:pt>
                <c:pt idx="8">
                  <c:v>55</c:v>
                </c:pt>
                <c:pt idx="9">
                  <c:v>60</c:v>
                </c:pt>
                <c:pt idx="10">
                  <c:v>65</c:v>
                </c:pt>
                <c:pt idx="11">
                  <c:v>70</c:v>
                </c:pt>
                <c:pt idx="12">
                  <c:v>75</c:v>
                </c:pt>
                <c:pt idx="13">
                  <c:v>80</c:v>
                </c:pt>
              </c:numCache>
            </c:numRef>
          </c:cat>
          <c:val>
            <c:numRef>
              <c:f>Arkusz1!$A$1:$A$14</c:f>
              <c:numCache>
                <c:formatCode>General</c:formatCode>
                <c:ptCount val="14"/>
                <c:pt idx="0">
                  <c:v>0.77000000000000091</c:v>
                </c:pt>
                <c:pt idx="1">
                  <c:v>0.7600000000000009</c:v>
                </c:pt>
                <c:pt idx="2">
                  <c:v>0.75300000000000089</c:v>
                </c:pt>
                <c:pt idx="3">
                  <c:v>0.74400000000000077</c:v>
                </c:pt>
                <c:pt idx="4">
                  <c:v>0.73500000000000065</c:v>
                </c:pt>
                <c:pt idx="5">
                  <c:v>0.72700000000000065</c:v>
                </c:pt>
                <c:pt idx="6">
                  <c:v>0.71800000000000064</c:v>
                </c:pt>
                <c:pt idx="7">
                  <c:v>0.70700000000000063</c:v>
                </c:pt>
                <c:pt idx="8">
                  <c:v>0.69799999999999995</c:v>
                </c:pt>
                <c:pt idx="9">
                  <c:v>0.68600000000000005</c:v>
                </c:pt>
                <c:pt idx="10">
                  <c:v>0.67500000000000104</c:v>
                </c:pt>
                <c:pt idx="11">
                  <c:v>0.66500000000000103</c:v>
                </c:pt>
                <c:pt idx="12">
                  <c:v>0.65500000000000103</c:v>
                </c:pt>
                <c:pt idx="13">
                  <c:v>0.64400000000000091</c:v>
                </c:pt>
              </c:numCache>
            </c:numRef>
          </c:val>
        </c:ser>
        <c:marker val="1"/>
        <c:axId val="142487936"/>
        <c:axId val="142489856"/>
      </c:lineChart>
      <c:catAx>
        <c:axId val="1424879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T [</a:t>
                </a:r>
                <a:r>
                  <a:rPr lang="pl-PL" sz="1200">
                    <a:latin typeface="Times New Roman"/>
                    <a:cs typeface="Times New Roman"/>
                  </a:rPr>
                  <a:t>ºC]</a:t>
                </a:r>
                <a:endParaRPr lang="pl-PL" sz="1200"/>
              </a:p>
            </c:rich>
          </c:tx>
          <c:layout>
            <c:manualLayout>
              <c:xMode val="edge"/>
              <c:yMode val="edge"/>
              <c:x val="0.92556613756613759"/>
              <c:y val="0.91638141809290952"/>
            </c:manualLayout>
          </c:layout>
        </c:title>
        <c:numFmt formatCode="General" sourceLinked="1"/>
        <c:tickLblPos val="nextTo"/>
        <c:crossAx val="142489856"/>
        <c:crosses val="autoZero"/>
        <c:auto val="1"/>
        <c:lblAlgn val="ctr"/>
        <c:lblOffset val="100"/>
      </c:catAx>
      <c:valAx>
        <c:axId val="142489856"/>
        <c:scaling>
          <c:orientation val="minMax"/>
          <c:min val="0.63000000000000134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 sz="1200"/>
                  <a:t>U</a:t>
                </a:r>
                <a:r>
                  <a:rPr lang="pl-PL" sz="1200" baseline="-25000"/>
                  <a:t>d</a:t>
                </a:r>
                <a:r>
                  <a:rPr lang="pl-PL" sz="1200" baseline="0"/>
                  <a:t> [V]</a:t>
                </a:r>
                <a:endParaRPr lang="pl-PL" sz="1200"/>
              </a:p>
            </c:rich>
          </c:tx>
          <c:layout>
            <c:manualLayout>
              <c:xMode val="edge"/>
              <c:yMode val="edge"/>
              <c:x val="0"/>
              <c:y val="4.9079439642171947E-4"/>
            </c:manualLayout>
          </c:layout>
        </c:title>
        <c:numFmt formatCode="General" sourceLinked="1"/>
        <c:tickLblPos val="nextTo"/>
        <c:crossAx val="142487936"/>
        <c:crosses val="autoZero"/>
        <c:crossBetween val="between"/>
        <c:majorUnit val="1.0000000000000005E-2"/>
      </c:valAx>
      <c:spPr>
        <a:noFill/>
        <a:ln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 algn="ctr">
              <a:defRPr/>
            </a:pPr>
            <a:r>
              <a:rPr lang="pl-PL" sz="1600"/>
              <a:t>Zależność prądu od temperatury </a:t>
            </a:r>
          </a:p>
          <a:p>
            <a:pPr algn="ctr">
              <a:defRPr/>
            </a:pPr>
            <a:r>
              <a:rPr lang="pl-PL" sz="1600"/>
              <a:t>dla kierunku zaporowego </a:t>
            </a:r>
          </a:p>
        </c:rich>
      </c:tx>
      <c:layout>
        <c:manualLayout>
          <c:xMode val="edge"/>
          <c:yMode val="edge"/>
          <c:x val="0.30121065055547308"/>
          <c:y val="2.0356234096692107E-2"/>
        </c:manualLayout>
      </c:layout>
      <c:overlay val="1"/>
    </c:title>
    <c:plotArea>
      <c:layout>
        <c:manualLayout>
          <c:layoutTarget val="inner"/>
          <c:xMode val="edge"/>
          <c:yMode val="edge"/>
          <c:x val="9.4446260255204001E-2"/>
          <c:y val="7.2671464992890233E-2"/>
          <c:w val="0.8866858152164947"/>
          <c:h val="0.81713040046605145"/>
        </c:manualLayout>
      </c:layout>
      <c:lineChart>
        <c:grouping val="standard"/>
        <c:ser>
          <c:idx val="0"/>
          <c:order val="0"/>
          <c:marker>
            <c:symbol val="circle"/>
            <c:size val="5"/>
          </c:marker>
          <c:cat>
            <c:numRef>
              <c:f>Arkusz2!$B$1:$B$12</c:f>
              <c:numCache>
                <c:formatCode>General</c:formatCode>
                <c:ptCount val="12"/>
                <c:pt idx="0">
                  <c:v>80</c:v>
                </c:pt>
                <c:pt idx="1">
                  <c:v>75</c:v>
                </c:pt>
                <c:pt idx="2">
                  <c:v>70</c:v>
                </c:pt>
                <c:pt idx="3">
                  <c:v>65</c:v>
                </c:pt>
                <c:pt idx="4">
                  <c:v>60</c:v>
                </c:pt>
                <c:pt idx="5">
                  <c:v>55</c:v>
                </c:pt>
                <c:pt idx="6">
                  <c:v>50</c:v>
                </c:pt>
                <c:pt idx="7">
                  <c:v>45</c:v>
                </c:pt>
                <c:pt idx="8">
                  <c:v>40</c:v>
                </c:pt>
                <c:pt idx="9">
                  <c:v>35</c:v>
                </c:pt>
                <c:pt idx="10">
                  <c:v>30</c:v>
                </c:pt>
                <c:pt idx="11">
                  <c:v>25</c:v>
                </c:pt>
              </c:numCache>
            </c:numRef>
          </c:cat>
          <c:val>
            <c:numRef>
              <c:f>Arkusz2!$A$1:$A$12</c:f>
              <c:numCache>
                <c:formatCode>General</c:formatCode>
                <c:ptCount val="12"/>
                <c:pt idx="0">
                  <c:v>4.1000000000000002E-2</c:v>
                </c:pt>
                <c:pt idx="1">
                  <c:v>3.2000000000000021E-2</c:v>
                </c:pt>
                <c:pt idx="2">
                  <c:v>2.5000000000000001E-2</c:v>
                </c:pt>
                <c:pt idx="3">
                  <c:v>1.7000000000000001E-2</c:v>
                </c:pt>
                <c:pt idx="4">
                  <c:v>1.3800000000000007E-2</c:v>
                </c:pt>
                <c:pt idx="5">
                  <c:v>1.0000000000000005E-2</c:v>
                </c:pt>
                <c:pt idx="6">
                  <c:v>7.8000000000000031E-3</c:v>
                </c:pt>
                <c:pt idx="7">
                  <c:v>6.0000000000000027E-3</c:v>
                </c:pt>
                <c:pt idx="8">
                  <c:v>4.5000000000000014E-3</c:v>
                </c:pt>
                <c:pt idx="9">
                  <c:v>3.7000000000000019E-3</c:v>
                </c:pt>
                <c:pt idx="10">
                  <c:v>3.1000000000000016E-3</c:v>
                </c:pt>
                <c:pt idx="11">
                  <c:v>2.8000000000000013E-3</c:v>
                </c:pt>
              </c:numCache>
            </c:numRef>
          </c:val>
        </c:ser>
        <c:marker val="1"/>
        <c:axId val="142518144"/>
        <c:axId val="142524416"/>
      </c:lineChart>
      <c:catAx>
        <c:axId val="1425181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T [</a:t>
                </a:r>
                <a:r>
                  <a:rPr lang="pl-PL" sz="1200">
                    <a:latin typeface="Times New Roman"/>
                    <a:cs typeface="Times New Roman"/>
                  </a:rPr>
                  <a:t>ºC]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0.92778402699662543"/>
              <c:y val="0.94383452665075573"/>
            </c:manualLayout>
          </c:layout>
        </c:title>
        <c:numFmt formatCode="General" sourceLinked="1"/>
        <c:tickLblPos val="nextTo"/>
        <c:crossAx val="142524416"/>
        <c:crosses val="autoZero"/>
        <c:auto val="1"/>
        <c:lblAlgn val="ctr"/>
        <c:lblOffset val="100"/>
      </c:catAx>
      <c:valAx>
        <c:axId val="142524416"/>
        <c:scaling>
          <c:orientation val="minMax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 sz="1200"/>
                  <a:t>I</a:t>
                </a:r>
                <a:r>
                  <a:rPr lang="pl-PL" sz="1200" baseline="-25000"/>
                  <a:t>d</a:t>
                </a:r>
                <a:r>
                  <a:rPr lang="pl-PL" sz="1200" baseline="0"/>
                  <a:t> [mA]</a:t>
                </a:r>
                <a:endParaRPr lang="pl-PL" sz="1200"/>
              </a:p>
            </c:rich>
          </c:tx>
          <c:layout>
            <c:manualLayout>
              <c:xMode val="edge"/>
              <c:yMode val="edge"/>
              <c:x val="0"/>
              <c:y val="2.9203983089899827E-3"/>
            </c:manualLayout>
          </c:layout>
        </c:title>
        <c:numFmt formatCode="General" sourceLinked="1"/>
        <c:tickLblPos val="nextTo"/>
        <c:crossAx val="142518144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Paweł</cp:lastModifiedBy>
  <cp:revision>30</cp:revision>
  <cp:lastPrinted>2007-04-14T10:20:00Z</cp:lastPrinted>
  <dcterms:created xsi:type="dcterms:W3CDTF">2007-04-14T08:13:00Z</dcterms:created>
  <dcterms:modified xsi:type="dcterms:W3CDTF">2010-02-17T13:07:00Z</dcterms:modified>
</cp:coreProperties>
</file>