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058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1531"/>
        <w:gridCol w:w="1349"/>
        <w:gridCol w:w="2478"/>
        <w:gridCol w:w="2856"/>
      </w:tblGrid>
      <w:tr w:rsidR="00054182" w:rsidRPr="00937601" w:rsidTr="00543BD3">
        <w:trPr>
          <w:trHeight w:val="609"/>
        </w:trPr>
        <w:tc>
          <w:tcPr>
            <w:tcW w:w="9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82" w:rsidRPr="00937601" w:rsidRDefault="00054182" w:rsidP="00054182">
            <w:pPr>
              <w:jc w:val="center"/>
            </w:pPr>
            <w:r w:rsidRPr="00937601">
              <w:t xml:space="preserve">SPRAWOZDANIE Z ĆWICZENIA LABORATORYJNEGO Z FIYZKI NR </w:t>
            </w:r>
            <w:r>
              <w:t>23</w:t>
            </w:r>
          </w:p>
        </w:tc>
      </w:tr>
      <w:tr w:rsidR="00054182" w:rsidRPr="00937601" w:rsidTr="00543BD3">
        <w:trPr>
          <w:trHeight w:hRule="exact" w:val="1188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82" w:rsidRPr="00937601" w:rsidRDefault="00054182" w:rsidP="00543BD3">
            <w:pPr>
              <w:jc w:val="center"/>
            </w:pPr>
            <w:r w:rsidRPr="00937601">
              <w:t>KOLEGIUM KARKONOWSKIE</w:t>
            </w:r>
          </w:p>
          <w:p w:rsidR="00054182" w:rsidRPr="00937601" w:rsidRDefault="00054182" w:rsidP="00543BD3">
            <w:pPr>
              <w:jc w:val="center"/>
            </w:pPr>
            <w:r w:rsidRPr="00937601">
              <w:t>w Jeleniej Górze</w:t>
            </w:r>
          </w:p>
          <w:p w:rsidR="00054182" w:rsidRPr="00937601" w:rsidRDefault="00054182" w:rsidP="00543BD3">
            <w:pPr>
              <w:jc w:val="center"/>
            </w:pPr>
            <w:r w:rsidRPr="00937601">
              <w:t>INSTYTUT TECHNIKI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Temat ćwiczenia: </w:t>
            </w:r>
            <w:r>
              <w:t>Prawo Ohma dla prądu zmiennego.</w:t>
            </w:r>
          </w:p>
          <w:p w:rsidR="00054182" w:rsidRPr="00937601" w:rsidRDefault="00054182" w:rsidP="00543BD3">
            <w:r w:rsidRPr="00937601">
              <w:t xml:space="preserve">(ćwiczenie nr </w:t>
            </w:r>
            <w:r>
              <w:t>23</w:t>
            </w:r>
            <w:r w:rsidRPr="00937601">
              <w:t>)</w:t>
            </w:r>
          </w:p>
        </w:tc>
      </w:tr>
      <w:tr w:rsidR="00054182" w:rsidRPr="00937601" w:rsidTr="00543BD3">
        <w:trPr>
          <w:trHeight w:val="531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Imię i nazwisko: </w:t>
            </w:r>
          </w:p>
          <w:p w:rsidR="00054182" w:rsidRPr="00937601" w:rsidRDefault="00054182" w:rsidP="00543BD3"/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Data wykonania </w:t>
            </w:r>
          </w:p>
          <w:p w:rsidR="00054182" w:rsidRPr="00937601" w:rsidRDefault="00054182" w:rsidP="00543BD3">
            <w:r w:rsidRPr="00937601">
              <w:t>ćwiczenia:</w:t>
            </w:r>
          </w:p>
          <w:p w:rsidR="00054182" w:rsidRPr="00937601" w:rsidRDefault="00054182" w:rsidP="00543BD3">
            <w:r>
              <w:t>11.6.2007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Ocena:</w:t>
            </w:r>
          </w:p>
        </w:tc>
      </w:tr>
      <w:tr w:rsidR="00054182" w:rsidRPr="00937601" w:rsidTr="00543BD3">
        <w:trPr>
          <w:trHeight w:val="83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Specjalizacja</w:t>
            </w:r>
          </w:p>
          <w:p w:rsidR="00054182" w:rsidRPr="00937601" w:rsidRDefault="00054182" w:rsidP="00543BD3">
            <w:proofErr w:type="spellStart"/>
            <w:r w:rsidRPr="00937601">
              <w:t>EiT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Semestr</w:t>
            </w:r>
          </w:p>
          <w:p w:rsidR="00054182" w:rsidRPr="00937601" w:rsidRDefault="00054182" w:rsidP="00543BD3">
            <w:r w:rsidRPr="00937601">
              <w:t>II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Grupa</w:t>
            </w:r>
          </w:p>
          <w:p w:rsidR="00054182" w:rsidRPr="00937601" w:rsidRDefault="00054182" w:rsidP="00543BD3">
            <w:r w:rsidRPr="00937601">
              <w:t>IV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/>
        </w:tc>
      </w:tr>
    </w:tbl>
    <w:p w:rsidR="0070195E" w:rsidRDefault="0070195E"/>
    <w:p w:rsidR="00054182" w:rsidRPr="006E12DB" w:rsidRDefault="00054182" w:rsidP="006E12DB">
      <w:pPr>
        <w:rPr>
          <w:b/>
          <w:u w:val="single"/>
        </w:rPr>
      </w:pPr>
      <w:r w:rsidRPr="006E12DB">
        <w:rPr>
          <w:b/>
          <w:u w:val="single"/>
        </w:rPr>
        <w:t>Cel ćwiczenia</w:t>
      </w:r>
    </w:p>
    <w:p w:rsidR="00460041" w:rsidRPr="006E12DB" w:rsidRDefault="00460041" w:rsidP="006E12DB">
      <w:r w:rsidRPr="006E12DB">
        <w:t>Celem doświadczenia jest sprawdzenie prawa Ohma dla prądu sinusoidalnie zmiennego, oraz zapoznanie się ze zjawiskiem rezonansu.</w:t>
      </w:r>
    </w:p>
    <w:p w:rsidR="00054182" w:rsidRPr="006E12DB" w:rsidRDefault="00054182" w:rsidP="006E12DB"/>
    <w:p w:rsidR="00460041" w:rsidRPr="006E12DB" w:rsidRDefault="00460041" w:rsidP="006E12DB">
      <w:pPr>
        <w:rPr>
          <w:b/>
          <w:u w:val="single"/>
        </w:rPr>
      </w:pPr>
      <w:r w:rsidRPr="006E12DB">
        <w:rPr>
          <w:b/>
          <w:u w:val="single"/>
        </w:rPr>
        <w:t>Wstęp teoretyczny</w:t>
      </w:r>
    </w:p>
    <w:p w:rsidR="006E12DB" w:rsidRPr="006E12DB" w:rsidRDefault="006E12DB" w:rsidP="006E12DB">
      <w:pPr>
        <w:jc w:val="both"/>
      </w:pPr>
      <w:r w:rsidRPr="006E12DB">
        <w:t>Prawo Ohma dla prądu stałego :</w:t>
      </w:r>
    </w:p>
    <w:p w:rsidR="006E12DB" w:rsidRPr="006E12DB" w:rsidRDefault="006E12DB" w:rsidP="006E12DB">
      <w:pPr>
        <w:jc w:val="both"/>
      </w:pPr>
      <w:r w:rsidRPr="006E12DB">
        <w:t>Jeśli do końcówek rezystora R przyłożymy napięcie stałe U to natężenie prądu I płynącego przez rezystor jest proporcjonalne do przyłożonego napięcia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  </w:t>
      </w:r>
      <w:r w:rsidRPr="006E12DB">
        <w:rPr>
          <w:b/>
          <w:position w:val="-24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5pt;height:31.15pt" o:ole="">
            <v:imagedata r:id="rId4" o:title=""/>
          </v:shape>
          <o:OLEObject Type="Embed" ProgID="Equation.2" ShapeID="_x0000_i1025" DrawAspect="Content" ObjectID="_1327918907" r:id="rId5"/>
        </w:object>
      </w:r>
    </w:p>
    <w:p w:rsidR="006E12DB" w:rsidRPr="006E12DB" w:rsidRDefault="006E12DB" w:rsidP="006E12DB">
      <w:pPr>
        <w:jc w:val="both"/>
      </w:pPr>
      <w:r w:rsidRPr="006E12DB">
        <w:t>Jeżeli zaś do układu złożonego z rezystancji R, pojemności C, indukcyjności L przyłożymy siłę elektromotoryczną, sinusoidalnie zmienną :</w:t>
      </w:r>
    </w:p>
    <w:p w:rsidR="006E12DB" w:rsidRPr="006E12DB" w:rsidRDefault="006E12DB" w:rsidP="006E12DB">
      <w:pPr>
        <w:jc w:val="both"/>
        <w:rPr>
          <w:b/>
        </w:rPr>
      </w:pPr>
      <w:r w:rsidRPr="006E12DB">
        <w:rPr>
          <w:b/>
        </w:rPr>
        <w:t xml:space="preserve">                                          </w:t>
      </w:r>
      <w:r w:rsidRPr="006E12DB">
        <w:rPr>
          <w:b/>
          <w:position w:val="-10"/>
        </w:rPr>
        <w:object w:dxaOrig="1320" w:dyaOrig="320">
          <v:shape id="_x0000_i1026" type="#_x0000_t75" style="width:82.4pt;height:19.4pt" o:ole="">
            <v:imagedata r:id="rId6" o:title=""/>
          </v:shape>
          <o:OLEObject Type="Embed" ProgID="Equation.2" ShapeID="_x0000_i1026" DrawAspect="Content" ObjectID="_1327918908" r:id="rId7"/>
        </w:object>
      </w:r>
      <w:r w:rsidRPr="006E12DB">
        <w:rPr>
          <w:b/>
        </w:rPr>
        <w:t xml:space="preserve">         </w:t>
      </w:r>
      <w:r>
        <w:rPr>
          <w:b/>
        </w:rPr>
        <w:t xml:space="preserve">    </w:t>
      </w:r>
      <w:r w:rsidRPr="006E12DB">
        <w:rPr>
          <w:b/>
        </w:rPr>
        <w:t xml:space="preserve">  </w:t>
      </w:r>
      <w:r w:rsidRPr="006E12DB">
        <w:t>E</w:t>
      </w:r>
      <w:r w:rsidRPr="006E12DB">
        <w:rPr>
          <w:vertAlign w:val="subscript"/>
        </w:rPr>
        <w:t xml:space="preserve">0 </w:t>
      </w:r>
      <w:r w:rsidRPr="006E12DB">
        <w:rPr>
          <w:vertAlign w:val="subscript"/>
        </w:rPr>
        <w:softHyphen/>
      </w:r>
      <w:r w:rsidRPr="006E12DB">
        <w:t>-</w:t>
      </w:r>
      <w:r w:rsidRPr="006E12DB">
        <w:rPr>
          <w:b/>
        </w:rPr>
        <w:t xml:space="preserve"> </w:t>
      </w:r>
      <w:r w:rsidRPr="006E12DB">
        <w:t>napięcie szczytowe</w:t>
      </w:r>
    </w:p>
    <w:p w:rsidR="006E12DB" w:rsidRPr="006E12DB" w:rsidRDefault="006E12DB" w:rsidP="006E12DB">
      <w:pPr>
        <w:jc w:val="both"/>
        <w:rPr>
          <w:b/>
        </w:rPr>
      </w:pPr>
      <w:r w:rsidRPr="006E12DB">
        <w:t xml:space="preserve">                                                                                    </w:t>
      </w:r>
      <w:r w:rsidRPr="006E12DB">
        <w:rPr>
          <w:position w:val="-6"/>
        </w:rPr>
        <w:object w:dxaOrig="240" w:dyaOrig="220">
          <v:shape id="_x0000_i1027" type="#_x0000_t75" style="width:11.75pt;height:11.1pt" o:ole="">
            <v:imagedata r:id="rId8" o:title=""/>
          </v:shape>
          <o:OLEObject Type="Embed" ProgID="Equation.2" ShapeID="_x0000_i1027" DrawAspect="Content" ObjectID="_1327918909" r:id="rId9"/>
        </w:object>
      </w:r>
      <w:r w:rsidRPr="006E12DB">
        <w:t>-pulsacja zmian napięcia</w:t>
      </w:r>
      <w:r w:rsidRPr="006E12DB">
        <w:rPr>
          <w:b/>
        </w:rPr>
        <w:t xml:space="preserve">                </w:t>
      </w:r>
    </w:p>
    <w:p w:rsidR="006E12DB" w:rsidRPr="006E12DB" w:rsidRDefault="006E12DB" w:rsidP="006E12DB">
      <w:pPr>
        <w:jc w:val="both"/>
      </w:pPr>
      <w:r w:rsidRPr="006E12DB">
        <w:rPr>
          <w:b/>
        </w:rPr>
        <w:t xml:space="preserve">                                                   </w:t>
      </w:r>
      <w:r>
        <w:rPr>
          <w:b/>
        </w:rPr>
        <w:t xml:space="preserve">                            </w:t>
      </w:r>
      <w:r w:rsidRPr="006E12DB">
        <w:rPr>
          <w:b/>
        </w:rPr>
        <w:t xml:space="preserve">    </w:t>
      </w:r>
      <w:r w:rsidRPr="006E12DB">
        <w:rPr>
          <w:b/>
          <w:position w:val="-6"/>
        </w:rPr>
        <w:object w:dxaOrig="300" w:dyaOrig="240">
          <v:shape id="_x0000_i1028" type="#_x0000_t75" style="width:17.3pt;height:13.85pt" o:ole="">
            <v:imagedata r:id="rId10" o:title=""/>
          </v:shape>
          <o:OLEObject Type="Embed" ProgID="Equation.2" ShapeID="_x0000_i1028" DrawAspect="Content" ObjectID="_1327918910" r:id="rId11"/>
        </w:object>
      </w:r>
      <w:r w:rsidRPr="006E12DB">
        <w:rPr>
          <w:b/>
        </w:rPr>
        <w:t>-</w:t>
      </w:r>
      <w:r w:rsidRPr="006E12DB">
        <w:t>faza napięcia</w:t>
      </w:r>
    </w:p>
    <w:p w:rsidR="006E12DB" w:rsidRPr="006E12DB" w:rsidRDefault="006E12DB" w:rsidP="006E12DB">
      <w:pPr>
        <w:jc w:val="both"/>
      </w:pPr>
      <w:r w:rsidRPr="006E12DB">
        <w:t>to natężenie prądu wyraża się wzorem: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</w:t>
      </w:r>
      <w:r w:rsidRPr="006E12DB">
        <w:rPr>
          <w:position w:val="-10"/>
        </w:rPr>
        <w:object w:dxaOrig="1740" w:dyaOrig="320">
          <v:shape id="_x0000_i1029" type="#_x0000_t75" style="width:101.1pt;height:18.7pt" o:ole="">
            <v:imagedata r:id="rId12" o:title=""/>
          </v:shape>
          <o:OLEObject Type="Embed" ProgID="Equation.2" ShapeID="_x0000_i1029" DrawAspect="Content" ObjectID="_1327918911" r:id="rId13"/>
        </w:object>
      </w:r>
    </w:p>
    <w:p w:rsidR="006E12DB" w:rsidRDefault="006E12DB" w:rsidP="006E12DB">
      <w:pPr>
        <w:jc w:val="both"/>
      </w:pPr>
      <w:r w:rsidRPr="006E12DB">
        <w:t xml:space="preserve">                                                                             </w:t>
      </w:r>
      <w:r w:rsidRPr="006E12DB">
        <w:rPr>
          <w:position w:val="-10"/>
        </w:rPr>
        <w:object w:dxaOrig="200" w:dyaOrig="320">
          <v:shape id="_x0000_i1030" type="#_x0000_t75" style="width:9.7pt;height:18.7pt" o:ole="">
            <v:imagedata r:id="rId14" o:title=""/>
          </v:shape>
          <o:OLEObject Type="Embed" ProgID="Equation.2" ShapeID="_x0000_i1030" DrawAspect="Content" ObjectID="_1327918912" r:id="rId15"/>
        </w:object>
      </w:r>
      <w:r w:rsidRPr="006E12DB">
        <w:t xml:space="preserve">-przesunięcie w fazie            </w:t>
      </w:r>
    </w:p>
    <w:p w:rsidR="006E12DB" w:rsidRPr="006E12DB" w:rsidRDefault="006E12DB" w:rsidP="006E12DB">
      <w:pPr>
        <w:jc w:val="both"/>
      </w:pPr>
      <w:r>
        <w:t xml:space="preserve">                                                                                </w:t>
      </w:r>
      <w:r w:rsidRPr="006E12DB">
        <w:t xml:space="preserve">  przebiegu względem przebiegu napięcia             </w:t>
      </w:r>
    </w:p>
    <w:p w:rsidR="006E12DB" w:rsidRPr="006E12DB" w:rsidRDefault="006E12DB" w:rsidP="006E12DB">
      <w:pPr>
        <w:jc w:val="both"/>
      </w:pPr>
      <w:r w:rsidRPr="006E12DB">
        <w:t xml:space="preserve">W prądach sinusoidalnie zmiennych przebiegi czasowe I </w:t>
      </w:r>
      <w:proofErr w:type="spellStart"/>
      <w:r w:rsidRPr="006E12DB">
        <w:t>i</w:t>
      </w:r>
      <w:proofErr w:type="spellEnd"/>
      <w:r w:rsidRPr="006E12DB">
        <w:t xml:space="preserve"> E można charakteryzować za pomocą amplitud prądu lub SEM oraz pulsacji </w:t>
      </w:r>
      <w:r w:rsidRPr="006E12DB">
        <w:rPr>
          <w:position w:val="-6"/>
        </w:rPr>
        <w:object w:dxaOrig="240" w:dyaOrig="220">
          <v:shape id="_x0000_i1031" type="#_x0000_t75" style="width:11.75pt;height:11.1pt" o:ole="">
            <v:imagedata r:id="rId8" o:title=""/>
          </v:shape>
          <o:OLEObject Type="Embed" ProgID="Equation.2" ShapeID="_x0000_i1031" DrawAspect="Content" ObjectID="_1327918913" r:id="rId16"/>
        </w:object>
      </w:r>
      <w:r w:rsidRPr="006E12DB">
        <w:t xml:space="preserve"> gdzie </w:t>
      </w:r>
    </w:p>
    <w:p w:rsidR="006E12DB" w:rsidRPr="006E12DB" w:rsidRDefault="006E12DB" w:rsidP="006E12DB">
      <w:pPr>
        <w:jc w:val="both"/>
      </w:pPr>
      <w:r w:rsidRPr="006E12DB">
        <w:rPr>
          <w:position w:val="-10"/>
        </w:rPr>
        <w:object w:dxaOrig="880" w:dyaOrig="320">
          <v:shape id="_x0000_i1032" type="#_x0000_t75" style="width:54.7pt;height:19.4pt" o:ole="">
            <v:imagedata r:id="rId17" o:title=""/>
          </v:shape>
          <o:OLEObject Type="Embed" ProgID="Equation.2" ShapeID="_x0000_i1032" DrawAspect="Content" ObjectID="_1327918914" r:id="rId18"/>
        </w:object>
      </w:r>
    </w:p>
    <w:p w:rsidR="006E12DB" w:rsidRPr="006E12DB" w:rsidRDefault="006E12DB" w:rsidP="006E12DB">
      <w:pPr>
        <w:jc w:val="both"/>
      </w:pPr>
      <w:r w:rsidRPr="006E12DB">
        <w:t>Zależność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</w:t>
      </w:r>
      <w:r w:rsidRPr="006E12DB">
        <w:rPr>
          <w:position w:val="-24"/>
        </w:rPr>
        <w:object w:dxaOrig="859" w:dyaOrig="620">
          <v:shape id="_x0000_i1033" type="#_x0000_t75" style="width:47.75pt;height:33.9pt" o:ole="">
            <v:imagedata r:id="rId19" o:title=""/>
          </v:shape>
          <o:OLEObject Type="Embed" ProgID="Equation.2" ShapeID="_x0000_i1033" DrawAspect="Content" ObjectID="_1327918915" r:id="rId20"/>
        </w:object>
      </w:r>
      <w:r w:rsidRPr="006E12DB">
        <w:t xml:space="preserve">                z - zawada                                             </w:t>
      </w:r>
      <w:r>
        <w:t xml:space="preserve">            </w:t>
      </w:r>
      <w:r w:rsidRPr="006E12DB">
        <w:t xml:space="preserve"> </w:t>
      </w:r>
    </w:p>
    <w:p w:rsidR="006E12DB" w:rsidRPr="006E12DB" w:rsidRDefault="006E12DB" w:rsidP="006E12DB">
      <w:pPr>
        <w:jc w:val="both"/>
      </w:pPr>
      <w:r w:rsidRPr="006E12DB">
        <w:t>przedstawia prawo Ohma dla prądu zmiennego.</w:t>
      </w:r>
    </w:p>
    <w:p w:rsidR="006E12DB" w:rsidRPr="006E12DB" w:rsidRDefault="006E12DB" w:rsidP="006E12DB">
      <w:pPr>
        <w:jc w:val="center"/>
      </w:pPr>
      <w:r w:rsidRPr="006E12DB">
        <w:object w:dxaOrig="3396" w:dyaOrig="1767">
          <v:shape id="_x0000_i1034" type="#_x0000_t75" style="width:169.6pt;height:88.6pt" o:ole="">
            <v:imagedata r:id="rId21" o:title=""/>
          </v:shape>
          <o:OLEObject Type="Embed" ProgID="PaintShopPro" ShapeID="_x0000_i1034" DrawAspect="Content" ObjectID="_1327918916" r:id="rId22"/>
        </w:object>
      </w:r>
      <w:r w:rsidRPr="006E12DB">
        <w:t xml:space="preserve">                                             </w:t>
      </w:r>
    </w:p>
    <w:p w:rsidR="006E12DB" w:rsidRPr="006E12DB" w:rsidRDefault="006E12DB" w:rsidP="006E12DB">
      <w:pPr>
        <w:jc w:val="center"/>
      </w:pPr>
      <w:r w:rsidRPr="006E12DB">
        <w:rPr>
          <w:position w:val="-10"/>
        </w:rPr>
        <w:object w:dxaOrig="1420" w:dyaOrig="320">
          <v:shape id="_x0000_i1035" type="#_x0000_t75" style="width:93.45pt;height:18pt" o:ole="">
            <v:imagedata r:id="rId23" o:title=""/>
          </v:shape>
          <o:OLEObject Type="Embed" ProgID="Equation.2" ShapeID="_x0000_i1035" DrawAspect="Content" ObjectID="_1327918917" r:id="rId24"/>
        </w:object>
      </w:r>
    </w:p>
    <w:p w:rsidR="006E12DB" w:rsidRPr="006E12DB" w:rsidRDefault="006E12DB" w:rsidP="006E12DB">
      <w:pPr>
        <w:spacing w:before="240"/>
        <w:jc w:val="both"/>
      </w:pPr>
      <w:r w:rsidRPr="006E12DB">
        <w:t xml:space="preserve">Indukcyjność własna cewki (L) jest to stosunek strumienia magnetycznego skojarzonego z cewką </w:t>
      </w:r>
      <w:r w:rsidRPr="006E12DB">
        <w:rPr>
          <w:position w:val="-10"/>
        </w:rPr>
        <w:object w:dxaOrig="260" w:dyaOrig="260">
          <v:shape id="_x0000_i1036" type="#_x0000_t75" style="width:17.3pt;height:17.3pt" o:ole="">
            <v:imagedata r:id="rId25" o:title=""/>
          </v:shape>
          <o:OLEObject Type="Embed" ProgID="Equation.2" ShapeID="_x0000_i1036" DrawAspect="Content" ObjectID="_1327918918" r:id="rId26"/>
        </w:object>
      </w:r>
      <w:r w:rsidRPr="006E12DB">
        <w:t>do prądu I płynącego przez cewkę :</w:t>
      </w:r>
    </w:p>
    <w:p w:rsidR="006E12DB" w:rsidRPr="006E12DB" w:rsidRDefault="006E12DB" w:rsidP="006E12DB">
      <w:pPr>
        <w:spacing w:before="240"/>
        <w:jc w:val="both"/>
      </w:pPr>
      <w:r w:rsidRPr="006E12DB">
        <w:lastRenderedPageBreak/>
        <w:t xml:space="preserve">                          </w:t>
      </w:r>
      <w:r w:rsidRPr="006E12DB">
        <w:rPr>
          <w:position w:val="-24"/>
        </w:rPr>
        <w:object w:dxaOrig="3159" w:dyaOrig="620">
          <v:shape id="_x0000_i1037" type="#_x0000_t75" style="width:164.1pt;height:32.55pt" o:ole="">
            <v:imagedata r:id="rId27" o:title=""/>
          </v:shape>
          <o:OLEObject Type="Embed" ProgID="Equation.2" ShapeID="_x0000_i1037" DrawAspect="Content" ObjectID="_1327918919" r:id="rId28"/>
        </w:object>
      </w:r>
      <w:r w:rsidRPr="006E12DB">
        <w:t xml:space="preserve">        </w:t>
      </w:r>
    </w:p>
    <w:p w:rsidR="006E12DB" w:rsidRPr="006E12DB" w:rsidRDefault="006E12DB" w:rsidP="006E12DB">
      <w:pPr>
        <w:spacing w:before="240"/>
        <w:jc w:val="both"/>
      </w:pPr>
      <w:r w:rsidRPr="006E12DB">
        <w:t xml:space="preserve">Pojemność kondensatora (C) jest to stosunek ładunku zgromadzonego na okładzinach kondensatora do napięcia występującego pomiędzy tymi okładzinami 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</w:t>
      </w:r>
      <w:r w:rsidRPr="006E12DB">
        <w:rPr>
          <w:position w:val="-24"/>
        </w:rPr>
        <w:object w:dxaOrig="1939" w:dyaOrig="620">
          <v:shape id="_x0000_i1038" type="#_x0000_t75" style="width:96.25pt;height:30.45pt" o:ole="">
            <v:imagedata r:id="rId29" o:title=""/>
          </v:shape>
          <o:OLEObject Type="Embed" ProgID="Equation.2" ShapeID="_x0000_i1038" DrawAspect="Content" ObjectID="_1327918920" r:id="rId30"/>
        </w:object>
      </w:r>
    </w:p>
    <w:p w:rsidR="006E12DB" w:rsidRPr="006E12DB" w:rsidRDefault="006E12DB" w:rsidP="006E12DB">
      <w:pPr>
        <w:jc w:val="both"/>
      </w:pPr>
      <w:r w:rsidRPr="006E12DB">
        <w:t>Z drugiego prawa Kirchhoffa otrzymujemy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</w:t>
      </w:r>
      <w:proofErr w:type="spellStart"/>
      <w:r w:rsidRPr="006E12DB">
        <w:t>IR+U=E+E</w:t>
      </w:r>
      <w:r w:rsidRPr="006E12DB">
        <w:rPr>
          <w:vertAlign w:val="subscript"/>
        </w:rPr>
        <w:t>s</w:t>
      </w:r>
      <w:proofErr w:type="spellEnd"/>
      <w:r w:rsidRPr="006E12DB">
        <w:t xml:space="preserve">    , gdzie </w:t>
      </w:r>
      <w:r w:rsidRPr="006E12DB">
        <w:rPr>
          <w:position w:val="-24"/>
        </w:rPr>
        <w:object w:dxaOrig="1200" w:dyaOrig="620">
          <v:shape id="_x0000_i1039" type="#_x0000_t75" style="width:66.45pt;height:34.6pt" o:ole="">
            <v:imagedata r:id="rId31" o:title=""/>
          </v:shape>
          <o:OLEObject Type="Embed" ProgID="Equation.2" ShapeID="_x0000_i1039" DrawAspect="Content" ObjectID="_1327918921" r:id="rId32"/>
        </w:object>
      </w:r>
    </w:p>
    <w:p w:rsidR="006E12DB" w:rsidRPr="006E12DB" w:rsidRDefault="006E12DB" w:rsidP="006E12DB">
      <w:pPr>
        <w:jc w:val="both"/>
      </w:pPr>
      <w:r w:rsidRPr="006E12DB">
        <w:t>Po podstawieniu, zróżniczkowaniu po czasie, oraz używając znanych funkcji trygonometrycznych otrzymujemy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</w:t>
      </w:r>
      <w:r w:rsidRPr="006E12DB">
        <w:rPr>
          <w:position w:val="-62"/>
        </w:rPr>
        <w:object w:dxaOrig="2460" w:dyaOrig="999">
          <v:shape id="_x0000_i1040" type="#_x0000_t75" style="width:116.3pt;height:46.4pt" o:ole="">
            <v:imagedata r:id="rId33" o:title=""/>
          </v:shape>
          <o:OLEObject Type="Embed" ProgID="Equation.2" ShapeID="_x0000_i1040" DrawAspect="Content" ObjectID="_1327918922" r:id="rId34"/>
        </w:object>
      </w:r>
    </w:p>
    <w:p w:rsidR="006E12DB" w:rsidRPr="006E12DB" w:rsidRDefault="006E12DB" w:rsidP="006E12DB">
      <w:pPr>
        <w:jc w:val="both"/>
      </w:pPr>
      <w:r w:rsidRPr="006E12DB">
        <w:t xml:space="preserve">Mianownik tego wyrażenia jest impedancją. Zależy on od rezystancji R, reaktancji indukcyjnej </w:t>
      </w:r>
      <w:r w:rsidRPr="006E12DB">
        <w:rPr>
          <w:position w:val="-6"/>
        </w:rPr>
        <w:object w:dxaOrig="360" w:dyaOrig="260">
          <v:shape id="_x0000_i1041" type="#_x0000_t75" style="width:23.55pt;height:16.6pt" o:ole="">
            <v:imagedata r:id="rId35" o:title=""/>
          </v:shape>
          <o:OLEObject Type="Embed" ProgID="Equation.2" ShapeID="_x0000_i1041" DrawAspect="Content" ObjectID="_1327918923" r:id="rId36"/>
        </w:object>
      </w:r>
      <w:r w:rsidRPr="006E12DB">
        <w:t xml:space="preserve">i reaktancji pojemnościowej </w:t>
      </w:r>
      <w:r w:rsidRPr="006E12DB">
        <w:rPr>
          <w:position w:val="-24"/>
        </w:rPr>
        <w:object w:dxaOrig="420" w:dyaOrig="620">
          <v:shape id="_x0000_i1042" type="#_x0000_t75" style="width:29.1pt;height:30.45pt" o:ole="">
            <v:imagedata r:id="rId37" o:title=""/>
          </v:shape>
          <o:OLEObject Type="Embed" ProgID="Equation.2" ShapeID="_x0000_i1042" DrawAspect="Content" ObjectID="_1327918924" r:id="rId38"/>
        </w:object>
      </w:r>
    </w:p>
    <w:p w:rsidR="006E12DB" w:rsidRPr="006E12DB" w:rsidRDefault="006E12DB" w:rsidP="006E12DB">
      <w:pPr>
        <w:jc w:val="both"/>
      </w:pPr>
      <w:r w:rsidRPr="006E12DB">
        <w:t>Przesunięcie fazowe obliczamy ze wzoru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</w:t>
      </w:r>
      <w:r w:rsidRPr="006E12DB">
        <w:rPr>
          <w:position w:val="-24"/>
        </w:rPr>
        <w:object w:dxaOrig="1579" w:dyaOrig="920">
          <v:shape id="_x0000_i1043" type="#_x0000_t75" style="width:1in;height:42.25pt" o:ole="">
            <v:imagedata r:id="rId39" o:title=""/>
          </v:shape>
          <o:OLEObject Type="Embed" ProgID="Equation.2" ShapeID="_x0000_i1043" DrawAspect="Content" ObjectID="_1327918925" r:id="rId40"/>
        </w:object>
      </w:r>
    </w:p>
    <w:p w:rsidR="006E12DB" w:rsidRPr="006E12DB" w:rsidRDefault="006E12DB" w:rsidP="006E12DB">
      <w:pPr>
        <w:jc w:val="both"/>
      </w:pPr>
      <w:r w:rsidRPr="006E12DB">
        <w:t>Różnica faz może przybierać wartości zarówno dodatnie,  jak i ujemne. Przebieg prądu może wyprzedzać lub spóźniać się względem przebiegu napięcia zależnie od L i C.</w:t>
      </w:r>
    </w:p>
    <w:p w:rsidR="006E12DB" w:rsidRPr="006E12DB" w:rsidRDefault="006E12DB" w:rsidP="006E12DB">
      <w:pPr>
        <w:jc w:val="both"/>
      </w:pPr>
      <w:r w:rsidRPr="006E12DB">
        <w:t>Prąd o maksymalnym natężeniu w obwodzie popłynie wówczas gdy:</w:t>
      </w:r>
    </w:p>
    <w:p w:rsidR="006E12DB" w:rsidRPr="006E12DB" w:rsidRDefault="006E12DB" w:rsidP="006E12DB">
      <w:pPr>
        <w:jc w:val="both"/>
        <w:rPr>
          <w:b/>
        </w:rPr>
      </w:pPr>
      <w:r w:rsidRPr="006E12DB">
        <w:t xml:space="preserve">                                        </w:t>
      </w:r>
      <w:r w:rsidRPr="006E12DB">
        <w:rPr>
          <w:position w:val="-24"/>
        </w:rPr>
        <w:object w:dxaOrig="1320" w:dyaOrig="620">
          <v:shape id="_x0000_i1044" type="#_x0000_t75" style="width:91.4pt;height:30.45pt" o:ole="">
            <v:imagedata r:id="rId41" o:title=""/>
          </v:shape>
          <o:OLEObject Type="Embed" ProgID="Equation.2" ShapeID="_x0000_i1044" DrawAspect="Content" ObjectID="_1327918926" r:id="rId42"/>
        </w:object>
      </w:r>
    </w:p>
    <w:p w:rsidR="006E12DB" w:rsidRPr="006E12DB" w:rsidRDefault="006E12DB" w:rsidP="006E12DB">
      <w:pPr>
        <w:jc w:val="both"/>
      </w:pPr>
      <w:r w:rsidRPr="006E12DB">
        <w:t>Wówczas impedancja będzie minimalna równa wartości R. Stan taki zachodzi gdy:</w:t>
      </w:r>
    </w:p>
    <w:p w:rsidR="006E12DB" w:rsidRPr="006E12DB" w:rsidRDefault="006E12DB" w:rsidP="006E12DB">
      <w:pPr>
        <w:jc w:val="both"/>
        <w:rPr>
          <w:b/>
        </w:rPr>
      </w:pPr>
      <w:r w:rsidRPr="006E12DB">
        <w:rPr>
          <w:b/>
        </w:rPr>
        <w:t xml:space="preserve">                            </w:t>
      </w:r>
      <w:r w:rsidRPr="006E12DB">
        <w:rPr>
          <w:b/>
          <w:position w:val="-28"/>
        </w:rPr>
        <w:object w:dxaOrig="1320" w:dyaOrig="660">
          <v:shape id="_x0000_i1045" type="#_x0000_t75" style="width:69.9pt;height:34.6pt" o:ole="">
            <v:imagedata r:id="rId43" o:title=""/>
          </v:shape>
          <o:OLEObject Type="Embed" ProgID="Equation.2" ShapeID="_x0000_i1045" DrawAspect="Content" ObjectID="_1327918927" r:id="rId44"/>
        </w:object>
      </w:r>
    </w:p>
    <w:p w:rsidR="006E12DB" w:rsidRPr="006E12DB" w:rsidRDefault="006E12DB" w:rsidP="006E12DB">
      <w:pPr>
        <w:jc w:val="both"/>
      </w:pPr>
      <w:r w:rsidRPr="006E12DB">
        <w:t>Taka częstotliwość nazywana jest częstotliwościowa rezonansową, a zjawisko gwałtownego wzrostu natężenia prądu do wartości maksymalnej w obwodzie nazywamy rezonansem szeregowym.</w:t>
      </w:r>
    </w:p>
    <w:p w:rsidR="00460041" w:rsidRDefault="00460041"/>
    <w:p w:rsidR="006E12DB" w:rsidRDefault="006E12DB"/>
    <w:p w:rsidR="006E12DB" w:rsidRDefault="0042246E">
      <w:pPr>
        <w:rPr>
          <w:b/>
          <w:u w:val="single"/>
        </w:rPr>
      </w:pPr>
      <w:r w:rsidRPr="0042246E">
        <w:rPr>
          <w:b/>
          <w:u w:val="single"/>
        </w:rPr>
        <w:t>Tabele pomiarowe</w:t>
      </w:r>
    </w:p>
    <w:p w:rsidR="0042246E" w:rsidRDefault="0042246E">
      <w:r>
        <w:t xml:space="preserve">Częstotliwość: </w:t>
      </w:r>
      <w:r w:rsidR="0006687F">
        <w:tab/>
      </w:r>
      <w:r>
        <w:t>f</w:t>
      </w:r>
      <w:r w:rsidR="00B03591">
        <w:t xml:space="preserve"> </w:t>
      </w:r>
      <w:r>
        <w:t>=</w:t>
      </w:r>
      <w:r w:rsidR="00B03591">
        <w:t xml:space="preserve"> </w:t>
      </w:r>
      <w:r>
        <w:t xml:space="preserve">7 </w:t>
      </w:r>
      <w:proofErr w:type="spellStart"/>
      <w:r>
        <w:t>kHz</w:t>
      </w:r>
      <w:proofErr w:type="spellEnd"/>
    </w:p>
    <w:p w:rsidR="00B03591" w:rsidRDefault="00B03591">
      <w:r>
        <w:t>Cewka:</w:t>
      </w:r>
      <w:r w:rsidR="0006687F">
        <w:tab/>
      </w:r>
      <w:r w:rsidR="0006687F">
        <w:tab/>
      </w:r>
      <w:r>
        <w:t>L</w:t>
      </w:r>
      <w:r>
        <w:rPr>
          <w:vertAlign w:val="subscript"/>
        </w:rPr>
        <w:t xml:space="preserve">11 </w:t>
      </w:r>
      <w:r>
        <w:t xml:space="preserve">= </w:t>
      </w:r>
      <w:r w:rsidR="0006687F">
        <w:t xml:space="preserve">87,7 </w:t>
      </w:r>
      <w:proofErr w:type="spellStart"/>
      <w:r w:rsidR="0006687F">
        <w:t>mH</w:t>
      </w:r>
      <w:proofErr w:type="spellEnd"/>
    </w:p>
    <w:p w:rsidR="0006687F" w:rsidRDefault="0006687F">
      <w:r>
        <w:t xml:space="preserve">Kondensator: </w:t>
      </w:r>
      <w:r>
        <w:tab/>
      </w:r>
      <w:r>
        <w:tab/>
        <w:t>C</w:t>
      </w:r>
      <w:r>
        <w:rPr>
          <w:vertAlign w:val="subscript"/>
        </w:rPr>
        <w:t xml:space="preserve">1 </w:t>
      </w:r>
      <w:r>
        <w:t xml:space="preserve">= 1,13 </w:t>
      </w:r>
      <w:proofErr w:type="spellStart"/>
      <w:r>
        <w:t>nF</w:t>
      </w:r>
      <w:proofErr w:type="spellEnd"/>
    </w:p>
    <w:p w:rsidR="0006687F" w:rsidRDefault="0006687F">
      <w:r>
        <w:t xml:space="preserve">Oporniki: </w:t>
      </w:r>
      <w:r>
        <w:tab/>
      </w:r>
      <w:r>
        <w:tab/>
        <w:t>R</w:t>
      </w:r>
      <w:r>
        <w:rPr>
          <w:vertAlign w:val="subscript"/>
        </w:rPr>
        <w:t>1</w:t>
      </w:r>
      <w:r>
        <w:t xml:space="preserve"> = 49,7 Ω</w:t>
      </w:r>
    </w:p>
    <w:p w:rsidR="00644910" w:rsidRDefault="0006687F">
      <w:r>
        <w:tab/>
      </w:r>
      <w:r>
        <w:tab/>
      </w:r>
      <w:r>
        <w:tab/>
        <w:t>R</w:t>
      </w:r>
      <w:r>
        <w:rPr>
          <w:vertAlign w:val="subscript"/>
        </w:rPr>
        <w:t>3</w:t>
      </w:r>
      <w:r>
        <w:t xml:space="preserve"> = 225,5 Ω</w:t>
      </w:r>
    </w:p>
    <w:p w:rsidR="00644910" w:rsidRDefault="00644910"/>
    <w:p w:rsidR="00C87549" w:rsidRDefault="00644910">
      <w:r>
        <w:t>Parametry mierników</w:t>
      </w:r>
      <w:r w:rsidR="006C41D5">
        <w:t>:</w:t>
      </w:r>
    </w:p>
    <w:p w:rsidR="00644910" w:rsidRDefault="00644910">
      <w:r>
        <w:t>DC [V]  ± 0,05%</w:t>
      </w:r>
    </w:p>
    <w:p w:rsidR="0006687F" w:rsidRDefault="00644910">
      <w:r>
        <w:t>DC [A]  ± 0,03%</w:t>
      </w:r>
      <w:r w:rsidR="0006687F">
        <w:tab/>
      </w:r>
    </w:p>
    <w:p w:rsidR="00C87549" w:rsidRDefault="00C87549"/>
    <w:p w:rsidR="00C87549" w:rsidRDefault="00C87549"/>
    <w:p w:rsidR="00C87549" w:rsidRDefault="00C87549"/>
    <w:p w:rsidR="00C87549" w:rsidRDefault="00C87549"/>
    <w:p w:rsidR="00C87549" w:rsidRDefault="00C87549"/>
    <w:tbl>
      <w:tblPr>
        <w:tblStyle w:val="Tabela-Siatka"/>
        <w:tblW w:w="0" w:type="auto"/>
        <w:tblLook w:val="04A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0251F" w:rsidRPr="00FB7DD7" w:rsidTr="00FB7DD7">
        <w:tc>
          <w:tcPr>
            <w:tcW w:w="122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lastRenderedPageBreak/>
              <w:t>U</w:t>
            </w:r>
          </w:p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[V]</w:t>
            </w:r>
          </w:p>
        </w:tc>
        <w:tc>
          <w:tcPr>
            <w:tcW w:w="122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∆U</w:t>
            </w:r>
            <w:proofErr w:type="spellEnd"/>
          </w:p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[V]</w:t>
            </w:r>
          </w:p>
        </w:tc>
        <w:tc>
          <w:tcPr>
            <w:tcW w:w="244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Układ: R</w:t>
            </w:r>
            <w:r w:rsidRPr="00FB7DD7">
              <w:rPr>
                <w:b/>
                <w:vertAlign w:val="subscript"/>
              </w:rPr>
              <w:t>1</w:t>
            </w:r>
            <w:r w:rsidRPr="00FB7DD7">
              <w:rPr>
                <w:b/>
              </w:rPr>
              <w:t>,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44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Układ: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 xml:space="preserve">Układ: </w:t>
            </w:r>
            <w:r w:rsidR="00D86EB4" w:rsidRPr="00FB7DD7">
              <w:rPr>
                <w:b/>
              </w:rPr>
              <w:t>L</w:t>
            </w:r>
            <w:r w:rsidR="00D86EB4" w:rsidRPr="00FB7DD7">
              <w:rPr>
                <w:b/>
                <w:vertAlign w:val="subscript"/>
              </w:rPr>
              <w:t>11</w:t>
            </w:r>
            <w:r w:rsidR="00D86EB4" w:rsidRPr="00FB7DD7">
              <w:rPr>
                <w:b/>
              </w:rPr>
              <w:t xml:space="preserve">, </w:t>
            </w:r>
            <w:r w:rsidRPr="00FB7DD7">
              <w:rPr>
                <w:b/>
              </w:rPr>
              <w:t>R</w:t>
            </w:r>
            <w:r w:rsidR="00D86EB4" w:rsidRPr="00FB7DD7">
              <w:rPr>
                <w:b/>
                <w:vertAlign w:val="subscript"/>
              </w:rPr>
              <w:t>3</w:t>
            </w:r>
          </w:p>
        </w:tc>
      </w:tr>
      <w:tr w:rsidR="00876DAA" w:rsidRPr="00FB7DD7" w:rsidTr="00FB7DD7">
        <w:tc>
          <w:tcPr>
            <w:tcW w:w="122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</w:p>
        </w:tc>
        <w:tc>
          <w:tcPr>
            <w:tcW w:w="122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</w:tr>
      <w:tr w:rsidR="00824B97" w:rsidTr="009662A2"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0,5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0,0023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0,0024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0,0783</w:t>
            </w:r>
          </w:p>
        </w:tc>
        <w:tc>
          <w:tcPr>
            <w:tcW w:w="1223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0,0117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0,0115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0,1435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0,0275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0,0279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0,2113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2,0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0,0445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0,0450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0,2755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2,5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0,0624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0,0623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0,3407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3,0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0,0794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0,0798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0,4060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3,5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0,0970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0,0974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0,4720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4,0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0,1148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0,1150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0,5380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4,5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0,1326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0,1325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0,6020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5,0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0,1500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0,1505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0,6700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5,5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0,1676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0,1684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0,7346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6,0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0,1871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0,1860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3C1FFA">
            <w:pPr>
              <w:jc w:val="center"/>
            </w:pPr>
            <w:r w:rsidRPr="00824B97">
              <w:t>0,7995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6,5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0,2011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0,2040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0,8635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7,0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0,2217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0,2218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0,9284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7,5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0,2396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0,2395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0,9935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8,0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0,2582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0,2569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1,0590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8,5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0,2751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0,2570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1,1240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9,0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0,2927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0,2930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1,1900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9,5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0,3107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0,3108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1,2540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10,0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0,3293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0,3286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1,3200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10,5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0,3469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0,3465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1,3850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11,0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0,3643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0,3638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1,4500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11,5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0,3822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0,3820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1,5130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0,2005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12,0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0,4000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0,3999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1,5780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0,2005</w:t>
            </w:r>
          </w:p>
        </w:tc>
      </w:tr>
    </w:tbl>
    <w:p w:rsidR="00C87549" w:rsidRDefault="00C87549"/>
    <w:p w:rsidR="0071089E" w:rsidRDefault="0071089E"/>
    <w:p w:rsidR="0071089E" w:rsidRDefault="0071089E" w:rsidP="0071089E">
      <w:r>
        <w:t>Błędy związane z pomiarem napięcia wyznaczam ze wzoru:</w:t>
      </w:r>
    </w:p>
    <w:p w:rsidR="0071089E" w:rsidRDefault="0071089E" w:rsidP="0071089E">
      <w:r w:rsidRPr="005C7871">
        <w:rPr>
          <w:position w:val="-24"/>
        </w:rPr>
        <w:object w:dxaOrig="2820" w:dyaOrig="639">
          <v:shape id="_x0000_i1046" type="#_x0000_t75" style="width:141.25pt;height:31.85pt" o:ole="">
            <v:imagedata r:id="rId45" o:title=""/>
          </v:shape>
          <o:OLEObject Type="Embed" ProgID="Equation.2" ShapeID="_x0000_i1046" DrawAspect="Content" ObjectID="_1327918928" r:id="rId46"/>
        </w:object>
      </w:r>
      <w:r>
        <w:t xml:space="preserve"> =</w:t>
      </w:r>
      <w:r w:rsidR="00824B97" w:rsidRPr="005C7871">
        <w:rPr>
          <w:position w:val="-24"/>
        </w:rPr>
        <w:object w:dxaOrig="1860" w:dyaOrig="620">
          <v:shape id="_x0000_i1047" type="#_x0000_t75" style="width:92.75pt;height:31.15pt" o:ole="">
            <v:imagedata r:id="rId47" o:title=""/>
          </v:shape>
          <o:OLEObject Type="Embed" ProgID="Equation.3" ShapeID="_x0000_i1047" DrawAspect="Content" ObjectID="_1327918929" r:id="rId48"/>
        </w:object>
      </w:r>
      <w:r>
        <w:t xml:space="preserve">         </w:t>
      </w:r>
    </w:p>
    <w:p w:rsidR="0071089E" w:rsidRDefault="0071089E"/>
    <w:p w:rsidR="00824B97" w:rsidRDefault="00824B97" w:rsidP="00824B97">
      <w:r>
        <w:t>Natomiast błędy natężenia (natężenie mierzone miernikiem cyfrowym) określam następująco:</w:t>
      </w:r>
    </w:p>
    <w:p w:rsidR="00824B97" w:rsidRDefault="00824B97" w:rsidP="00824B97">
      <w:r>
        <w:rPr>
          <w:rFonts w:ascii="Symbol" w:hAnsi="Symbol"/>
        </w:rPr>
        <w:t></w:t>
      </w:r>
      <w:r>
        <w:t>I = 0,03%</w:t>
      </w:r>
      <w:r w:rsidRPr="005C7871">
        <w:rPr>
          <w:position w:val="-10"/>
        </w:rPr>
        <w:object w:dxaOrig="180" w:dyaOrig="340">
          <v:shape id="_x0000_i1048" type="#_x0000_t75" style="width:9pt;height:17.3pt" o:ole="">
            <v:imagedata r:id="rId49" o:title=""/>
          </v:shape>
          <o:OLEObject Type="Embed" ProgID="Equation.2" ShapeID="_x0000_i1048" DrawAspect="Content" ObjectID="_1327918930" r:id="rId50"/>
        </w:object>
      </w:r>
      <w:r>
        <w:t xml:space="preserve">wartości zmierzonej + 0.2     </w:t>
      </w:r>
    </w:p>
    <w:p w:rsidR="00824B97" w:rsidRDefault="00824B97" w:rsidP="00824B97">
      <w:r w:rsidRPr="005C7871">
        <w:rPr>
          <w:position w:val="-10"/>
        </w:rPr>
        <w:object w:dxaOrig="3379" w:dyaOrig="320">
          <v:shape id="_x0000_i1049" type="#_x0000_t75" style="width:168.9pt;height:15.9pt" o:ole="">
            <v:imagedata r:id="rId51" o:title=""/>
          </v:shape>
          <o:OLEObject Type="Embed" ProgID="Equation.3" ShapeID="_x0000_i1049" DrawAspect="Content" ObjectID="_1327918931" r:id="rId52"/>
        </w:object>
      </w:r>
    </w:p>
    <w:p w:rsidR="00824B97" w:rsidRDefault="00824B97" w:rsidP="00824B97"/>
    <w:p w:rsidR="00824B97" w:rsidRDefault="006F7890">
      <w:pPr>
        <w:rPr>
          <w:b/>
        </w:rPr>
      </w:pPr>
      <w:r w:rsidRPr="00425FC9">
        <w:rPr>
          <w:b/>
        </w:rPr>
        <w:t xml:space="preserve">Obliczenie </w:t>
      </w:r>
      <w:r w:rsidR="00425FC9" w:rsidRPr="00425FC9">
        <w:rPr>
          <w:b/>
        </w:rPr>
        <w:t>Z ze wzoru</w:t>
      </w:r>
      <w:r w:rsidR="009A04B5">
        <w:rPr>
          <w:b/>
        </w:rPr>
        <w:t>:</w:t>
      </w:r>
    </w:p>
    <w:p w:rsidR="00425FC9" w:rsidRDefault="00501763">
      <w:pPr>
        <w:rPr>
          <w:sz w:val="32"/>
        </w:rPr>
      </w:pPr>
      <w:r w:rsidRPr="00375F80">
        <w:rPr>
          <w:position w:val="-28"/>
          <w:sz w:val="32"/>
        </w:rPr>
        <w:object w:dxaOrig="3340" w:dyaOrig="740">
          <v:shape id="_x0000_i1050" type="#_x0000_t75" style="width:208.4pt;height:40.15pt" o:ole="">
            <v:imagedata r:id="rId53" o:title=""/>
          </v:shape>
          <o:OLEObject Type="Embed" ProgID="Equation.2" ShapeID="_x0000_i1050" DrawAspect="Content" ObjectID="_1327918932" r:id="rId54"/>
        </w:object>
      </w:r>
    </w:p>
    <w:p w:rsidR="009A04B5" w:rsidRPr="009A04B5" w:rsidRDefault="009A04B5">
      <w:r>
        <w:t xml:space="preserve">Dla </w:t>
      </w:r>
      <w:r w:rsidRPr="00FB7DD7">
        <w:rPr>
          <w:b/>
        </w:rPr>
        <w:t>Układ</w:t>
      </w:r>
      <w:r w:rsidR="00DF34DB">
        <w:rPr>
          <w:b/>
        </w:rPr>
        <w:t>u</w:t>
      </w:r>
      <w:r w:rsidRPr="00FB7DD7">
        <w:rPr>
          <w:b/>
        </w:rPr>
        <w:t xml:space="preserve"> R</w:t>
      </w:r>
      <w:r w:rsidRPr="00FB7DD7">
        <w:rPr>
          <w:b/>
          <w:vertAlign w:val="subscript"/>
        </w:rPr>
        <w:t>1</w:t>
      </w:r>
      <w:r w:rsidRPr="00FB7DD7">
        <w:rPr>
          <w:b/>
        </w:rPr>
        <w:t>,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C</w:t>
      </w:r>
      <w:r w:rsidRPr="00FB7DD7">
        <w:rPr>
          <w:b/>
          <w:vertAlign w:val="subscript"/>
        </w:rPr>
        <w:t>1</w:t>
      </w:r>
    </w:p>
    <w:p w:rsidR="009A04B5" w:rsidRDefault="00DF34DB">
      <w:pPr>
        <w:rPr>
          <w:sz w:val="32"/>
        </w:rPr>
      </w:pPr>
      <w:r w:rsidRPr="009A04B5">
        <w:rPr>
          <w:position w:val="-32"/>
          <w:sz w:val="32"/>
        </w:rPr>
        <w:object w:dxaOrig="7740" w:dyaOrig="840">
          <v:shape id="_x0000_i1051" type="#_x0000_t75" style="width:387pt;height:42.25pt" o:ole="">
            <v:imagedata r:id="rId55" o:title=""/>
          </v:shape>
          <o:OLEObject Type="Embed" ProgID="Equation.3" ShapeID="_x0000_i1051" DrawAspect="Content" ObjectID="_1327918933" r:id="rId56"/>
        </w:object>
      </w:r>
    </w:p>
    <w:p w:rsidR="00DF34DB" w:rsidRDefault="00DF34DB">
      <w:pPr>
        <w:rPr>
          <w:b/>
          <w:vertAlign w:val="subscript"/>
        </w:rPr>
      </w:pPr>
      <w:r>
        <w:t xml:space="preserve">Dla </w:t>
      </w:r>
      <w:r w:rsidRPr="00FB7DD7">
        <w:rPr>
          <w:b/>
        </w:rPr>
        <w:t>Układ</w:t>
      </w:r>
      <w:r>
        <w:rPr>
          <w:b/>
        </w:rPr>
        <w:t>u</w:t>
      </w:r>
      <w:r w:rsidRPr="00FB7DD7">
        <w:rPr>
          <w:b/>
        </w:rPr>
        <w:t xml:space="preserve">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C</w:t>
      </w:r>
      <w:r w:rsidRPr="00FB7DD7">
        <w:rPr>
          <w:b/>
          <w:vertAlign w:val="subscript"/>
        </w:rPr>
        <w:t>1</w:t>
      </w:r>
    </w:p>
    <w:p w:rsidR="00DF34DB" w:rsidRDefault="00501763">
      <w:r w:rsidRPr="00DF34DB">
        <w:rPr>
          <w:position w:val="-32"/>
        </w:rPr>
        <w:object w:dxaOrig="6399" w:dyaOrig="840">
          <v:shape id="_x0000_i1052" type="#_x0000_t75" style="width:319.85pt;height:42.25pt" o:ole="">
            <v:imagedata r:id="rId57" o:title=""/>
          </v:shape>
          <o:OLEObject Type="Embed" ProgID="Equation.3" ShapeID="_x0000_i1052" DrawAspect="Content" ObjectID="_1327918934" r:id="rId58"/>
        </w:object>
      </w:r>
    </w:p>
    <w:p w:rsidR="00DF34DB" w:rsidRDefault="00DF34DB">
      <w:pPr>
        <w:rPr>
          <w:b/>
          <w:vertAlign w:val="subscript"/>
        </w:rPr>
      </w:pPr>
      <w:r>
        <w:t xml:space="preserve">Dla </w:t>
      </w:r>
      <w:r>
        <w:rPr>
          <w:b/>
        </w:rPr>
        <w:t>Układu</w:t>
      </w:r>
      <w:r w:rsidRPr="00FB7DD7">
        <w:rPr>
          <w:b/>
        </w:rPr>
        <w:t xml:space="preserve">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R</w:t>
      </w:r>
      <w:r w:rsidRPr="00FB7DD7">
        <w:rPr>
          <w:b/>
          <w:vertAlign w:val="subscript"/>
        </w:rPr>
        <w:t>3</w:t>
      </w:r>
    </w:p>
    <w:p w:rsidR="00DF34DB" w:rsidRDefault="00E93303">
      <w:r w:rsidRPr="00501763">
        <w:rPr>
          <w:position w:val="-12"/>
        </w:rPr>
        <w:object w:dxaOrig="4860" w:dyaOrig="480">
          <v:shape id="_x0000_i1053" type="#_x0000_t75" style="width:243pt;height:24.25pt" o:ole="">
            <v:imagedata r:id="rId59" o:title=""/>
          </v:shape>
          <o:OLEObject Type="Embed" ProgID="Equation.3" ShapeID="_x0000_i1053" DrawAspect="Content" ObjectID="_1327918935" r:id="rId60"/>
        </w:object>
      </w:r>
    </w:p>
    <w:p w:rsidR="00501763" w:rsidRDefault="00501763"/>
    <w:p w:rsidR="008A7B84" w:rsidRDefault="002A7B73">
      <w:pPr>
        <w:rPr>
          <w:b/>
          <w:u w:val="single"/>
        </w:rPr>
      </w:pPr>
      <w:r w:rsidRPr="008B5179">
        <w:rPr>
          <w:b/>
          <w:u w:val="single"/>
        </w:rPr>
        <w:lastRenderedPageBreak/>
        <w:t>Wykresy</w:t>
      </w:r>
    </w:p>
    <w:p w:rsidR="008B5179" w:rsidRDefault="008B5179">
      <w:pPr>
        <w:rPr>
          <w:b/>
          <w:u w:val="single"/>
        </w:rPr>
      </w:pPr>
    </w:p>
    <w:p w:rsidR="008B5179" w:rsidRDefault="008B5179">
      <w:r w:rsidRPr="008B5179">
        <w:rPr>
          <w:noProof/>
        </w:rPr>
        <w:drawing>
          <wp:inline distT="0" distB="0" distL="0" distR="0">
            <wp:extent cx="5969977" cy="3437792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8B5179" w:rsidRDefault="008B5179"/>
    <w:p w:rsidR="008B5179" w:rsidRDefault="008B5179"/>
    <w:p w:rsidR="008B5179" w:rsidRDefault="008B5179"/>
    <w:p w:rsidR="008B5179" w:rsidRDefault="008B5179"/>
    <w:p w:rsidR="008B5179" w:rsidRDefault="008B5179">
      <w:r w:rsidRPr="008B5179">
        <w:rPr>
          <w:noProof/>
        </w:rPr>
        <w:drawing>
          <wp:inline distT="0" distB="0" distL="0" distR="0">
            <wp:extent cx="5972810" cy="3704590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8B5179" w:rsidRDefault="008B5179"/>
    <w:p w:rsidR="008B5179" w:rsidRDefault="008B5179"/>
    <w:p w:rsidR="008B5179" w:rsidRDefault="008B5179"/>
    <w:p w:rsidR="008B5179" w:rsidRDefault="008B5179"/>
    <w:p w:rsidR="008B5179" w:rsidRDefault="008B5179"/>
    <w:p w:rsidR="008B5179" w:rsidRDefault="008B5179"/>
    <w:p w:rsidR="008B5179" w:rsidRDefault="008B5179">
      <w:r w:rsidRPr="008B5179">
        <w:rPr>
          <w:noProof/>
        </w:rPr>
        <w:lastRenderedPageBreak/>
        <w:drawing>
          <wp:inline distT="0" distB="0" distL="0" distR="0">
            <wp:extent cx="5972810" cy="370459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8B5179" w:rsidRDefault="008B5179"/>
    <w:p w:rsidR="008B5179" w:rsidRPr="008B5179" w:rsidRDefault="008B5179"/>
    <w:sectPr w:rsidR="008B5179" w:rsidRPr="008B5179" w:rsidSect="00F8640A">
      <w:pgSz w:w="11906" w:h="16838" w:code="9"/>
      <w:pgMar w:top="1134" w:right="1134" w:bottom="1134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054182"/>
    <w:rsid w:val="00054182"/>
    <w:rsid w:val="0006687F"/>
    <w:rsid w:val="000A23F6"/>
    <w:rsid w:val="000A5622"/>
    <w:rsid w:val="002A7B73"/>
    <w:rsid w:val="00375F80"/>
    <w:rsid w:val="003C1FFA"/>
    <w:rsid w:val="003D548E"/>
    <w:rsid w:val="0042246E"/>
    <w:rsid w:val="00425FC9"/>
    <w:rsid w:val="004414A9"/>
    <w:rsid w:val="00460041"/>
    <w:rsid w:val="00501763"/>
    <w:rsid w:val="005C7871"/>
    <w:rsid w:val="00644910"/>
    <w:rsid w:val="006C41D5"/>
    <w:rsid w:val="006E12DB"/>
    <w:rsid w:val="006F7890"/>
    <w:rsid w:val="0070195E"/>
    <w:rsid w:val="0071089E"/>
    <w:rsid w:val="00824B97"/>
    <w:rsid w:val="00876DAA"/>
    <w:rsid w:val="008A7B84"/>
    <w:rsid w:val="008B5179"/>
    <w:rsid w:val="009A04B5"/>
    <w:rsid w:val="00B03591"/>
    <w:rsid w:val="00B27913"/>
    <w:rsid w:val="00C87549"/>
    <w:rsid w:val="00D86EB4"/>
    <w:rsid w:val="00DF34DB"/>
    <w:rsid w:val="00E0251F"/>
    <w:rsid w:val="00E93303"/>
    <w:rsid w:val="00F01803"/>
    <w:rsid w:val="00F67BAC"/>
    <w:rsid w:val="00F8640A"/>
    <w:rsid w:val="00FB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51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1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image" Target="media/image9.png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chart" Target="charts/chart3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chart" Target="charts/chart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chart" Target="charts/chart1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R1, L11, C1</a:t>
            </a:r>
          </a:p>
        </c:rich>
      </c:tx>
      <c:layout>
        <c:manualLayout>
          <c:xMode val="edge"/>
          <c:yMode val="edge"/>
          <c:x val="0.38359410910937836"/>
          <c:y val="1.8691588785046745E-2"/>
        </c:manualLayout>
      </c:layout>
      <c:overlay val="1"/>
    </c:title>
    <c:plotArea>
      <c:layout>
        <c:manualLayout>
          <c:layoutTarget val="inner"/>
          <c:xMode val="edge"/>
          <c:yMode val="edge"/>
          <c:x val="8.4599208747641486E-2"/>
          <c:y val="3.4587363243975745E-2"/>
          <c:w val="0.88989218150438332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dispEq val="1"/>
            <c:trendlineLbl>
              <c:layout>
                <c:manualLayout>
                  <c:x val="-0.3863106829945131"/>
                  <c:y val="0.2707086614173228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Arkusz2!$B$1:$B$24</c:f>
              <c:numCache>
                <c:formatCode>0.0000</c:formatCode>
                <c:ptCount val="24"/>
                <c:pt idx="0">
                  <c:v>2.3000000000000013E-3</c:v>
                </c:pt>
                <c:pt idx="1">
                  <c:v>1.1700000000000009E-2</c:v>
                </c:pt>
                <c:pt idx="2">
                  <c:v>2.7500000000000011E-2</c:v>
                </c:pt>
                <c:pt idx="3">
                  <c:v>4.4500000000000026E-2</c:v>
                </c:pt>
                <c:pt idx="4">
                  <c:v>6.2400000000000039E-2</c:v>
                </c:pt>
                <c:pt idx="5">
                  <c:v>7.940000000000004E-2</c:v>
                </c:pt>
                <c:pt idx="6">
                  <c:v>9.7000000000000017E-2</c:v>
                </c:pt>
                <c:pt idx="7">
                  <c:v>0.11480000000000001</c:v>
                </c:pt>
                <c:pt idx="8">
                  <c:v>0.1326</c:v>
                </c:pt>
                <c:pt idx="9">
                  <c:v>0.15000000000000008</c:v>
                </c:pt>
                <c:pt idx="10">
                  <c:v>0.16760000000000003</c:v>
                </c:pt>
                <c:pt idx="11">
                  <c:v>0.18710000000000004</c:v>
                </c:pt>
                <c:pt idx="12">
                  <c:v>0.2011</c:v>
                </c:pt>
                <c:pt idx="13">
                  <c:v>0.22170000000000004</c:v>
                </c:pt>
                <c:pt idx="14">
                  <c:v>0.23960000000000001</c:v>
                </c:pt>
                <c:pt idx="15">
                  <c:v>0.25820000000000004</c:v>
                </c:pt>
                <c:pt idx="16">
                  <c:v>0.27510000000000001</c:v>
                </c:pt>
                <c:pt idx="17">
                  <c:v>0.29270000000000002</c:v>
                </c:pt>
                <c:pt idx="18">
                  <c:v>0.31070000000000014</c:v>
                </c:pt>
                <c:pt idx="19">
                  <c:v>0.32930000000000026</c:v>
                </c:pt>
                <c:pt idx="20">
                  <c:v>0.34690000000000026</c:v>
                </c:pt>
                <c:pt idx="21">
                  <c:v>0.36430000000000018</c:v>
                </c:pt>
                <c:pt idx="22">
                  <c:v>0.38220000000000015</c:v>
                </c:pt>
                <c:pt idx="23">
                  <c:v>0.4</c:v>
                </c:pt>
              </c:numCache>
            </c:numRef>
          </c:cat>
          <c:val>
            <c:numRef>
              <c:f>Arkusz2!$A$1:$A$24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57432448"/>
        <c:axId val="157434624"/>
      </c:lineChart>
      <c:catAx>
        <c:axId val="1574324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495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57434624"/>
        <c:crosses val="autoZero"/>
        <c:auto val="1"/>
        <c:lblAlgn val="ctr"/>
        <c:lblOffset val="100"/>
      </c:catAx>
      <c:valAx>
        <c:axId val="157434624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828E-3"/>
              <c:y val="0.22873377977285556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57432448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L11, C1</a:t>
            </a:r>
          </a:p>
        </c:rich>
      </c:tx>
      <c:layout>
        <c:manualLayout>
          <c:xMode val="edge"/>
          <c:yMode val="edge"/>
          <c:x val="0.38359410910937847"/>
          <c:y val="1.8691588785046741E-2"/>
        </c:manualLayout>
      </c:layout>
      <c:overlay val="1"/>
    </c:title>
    <c:plotArea>
      <c:layout>
        <c:manualLayout>
          <c:layoutTarget val="inner"/>
          <c:xMode val="edge"/>
          <c:yMode val="edge"/>
          <c:x val="8.8851776614063266E-2"/>
          <c:y val="3.4587288738440407E-2"/>
          <c:w val="0.8898921815043831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</c:trendline>
          <c:trendline>
            <c:trendlineType val="linear"/>
            <c:dispEq val="1"/>
            <c:trendlineLbl>
              <c:layout>
                <c:manualLayout>
                  <c:x val="-0.4191609295387318"/>
                  <c:y val="0.2644781318223076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Arkusz3!$B$1:$B$24</c:f>
              <c:numCache>
                <c:formatCode>0.0000</c:formatCode>
                <c:ptCount val="24"/>
                <c:pt idx="0">
                  <c:v>2.3999999999999998E-3</c:v>
                </c:pt>
                <c:pt idx="1">
                  <c:v>1.1500000000000007E-2</c:v>
                </c:pt>
                <c:pt idx="2">
                  <c:v>2.7900000000000012E-2</c:v>
                </c:pt>
                <c:pt idx="3">
                  <c:v>4.5000000000000012E-2</c:v>
                </c:pt>
                <c:pt idx="4">
                  <c:v>6.2300000000000029E-2</c:v>
                </c:pt>
                <c:pt idx="5">
                  <c:v>7.9800000000000038E-2</c:v>
                </c:pt>
                <c:pt idx="6">
                  <c:v>9.74E-2</c:v>
                </c:pt>
                <c:pt idx="7">
                  <c:v>0.115</c:v>
                </c:pt>
                <c:pt idx="8">
                  <c:v>0.13250000000000001</c:v>
                </c:pt>
                <c:pt idx="9">
                  <c:v>0.15050000000000008</c:v>
                </c:pt>
                <c:pt idx="10">
                  <c:v>0.16839999999999999</c:v>
                </c:pt>
                <c:pt idx="11">
                  <c:v>0.18600000000000008</c:v>
                </c:pt>
                <c:pt idx="12">
                  <c:v>0.20400000000000001</c:v>
                </c:pt>
                <c:pt idx="13">
                  <c:v>0.2218</c:v>
                </c:pt>
                <c:pt idx="14">
                  <c:v>0.23950000000000007</c:v>
                </c:pt>
                <c:pt idx="15">
                  <c:v>0.25690000000000002</c:v>
                </c:pt>
                <c:pt idx="16">
                  <c:v>0.25700000000000001</c:v>
                </c:pt>
                <c:pt idx="17">
                  <c:v>0.29300000000000015</c:v>
                </c:pt>
                <c:pt idx="18">
                  <c:v>0.31080000000000024</c:v>
                </c:pt>
                <c:pt idx="19">
                  <c:v>0.32860000000000017</c:v>
                </c:pt>
                <c:pt idx="20">
                  <c:v>0.34650000000000014</c:v>
                </c:pt>
                <c:pt idx="21">
                  <c:v>0.36380000000000018</c:v>
                </c:pt>
                <c:pt idx="22">
                  <c:v>0.38200000000000017</c:v>
                </c:pt>
                <c:pt idx="23">
                  <c:v>0.39990000000000031</c:v>
                </c:pt>
              </c:numCache>
            </c:numRef>
          </c:cat>
          <c:val>
            <c:numRef>
              <c:f>Arkusz3!$A$1:$A$24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57443584"/>
        <c:axId val="142106624"/>
      </c:lineChart>
      <c:catAx>
        <c:axId val="1574435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529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42106624"/>
        <c:crosses val="autoZero"/>
        <c:auto val="1"/>
        <c:lblAlgn val="ctr"/>
        <c:lblOffset val="100"/>
      </c:catAx>
      <c:valAx>
        <c:axId val="142106624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854E-3"/>
              <c:y val="0.2287337797728555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57443584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L11, R3</a:t>
            </a:r>
          </a:p>
        </c:rich>
      </c:tx>
      <c:layout>
        <c:manualLayout>
          <c:xMode val="edge"/>
          <c:yMode val="edge"/>
          <c:x val="0.38359410910937858"/>
          <c:y val="1.8691588785046741E-2"/>
        </c:manualLayout>
      </c:layout>
      <c:overlay val="1"/>
    </c:title>
    <c:plotArea>
      <c:layout>
        <c:manualLayout>
          <c:layoutTarget val="inner"/>
          <c:xMode val="edge"/>
          <c:yMode val="edge"/>
          <c:x val="8.8851776614063266E-2"/>
          <c:y val="3.4587288738440407E-2"/>
          <c:w val="0.8898921815043831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</c:trendline>
          <c:trendline>
            <c:trendlineType val="linear"/>
          </c:trendline>
          <c:trendline>
            <c:trendlineType val="linear"/>
            <c:dispEq val="1"/>
            <c:trendlineLbl>
              <c:layout>
                <c:manualLayout>
                  <c:x val="-0.39210778532584611"/>
                  <c:y val="0.2707086614173228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Arkusz4!$B$1:$B$24</c:f>
              <c:numCache>
                <c:formatCode>0.0000</c:formatCode>
                <c:ptCount val="24"/>
                <c:pt idx="0">
                  <c:v>7.8299999999999995E-2</c:v>
                </c:pt>
                <c:pt idx="1">
                  <c:v>0.14350000000000004</c:v>
                </c:pt>
                <c:pt idx="2">
                  <c:v>0.21130000000000004</c:v>
                </c:pt>
                <c:pt idx="3">
                  <c:v>0.27550000000000002</c:v>
                </c:pt>
                <c:pt idx="4">
                  <c:v>0.3407</c:v>
                </c:pt>
                <c:pt idx="5">
                  <c:v>0.40600000000000008</c:v>
                </c:pt>
                <c:pt idx="6">
                  <c:v>0.47200000000000014</c:v>
                </c:pt>
                <c:pt idx="7">
                  <c:v>0.53800000000000003</c:v>
                </c:pt>
                <c:pt idx="8">
                  <c:v>0.60200000000000031</c:v>
                </c:pt>
                <c:pt idx="9">
                  <c:v>0.67000000000000048</c:v>
                </c:pt>
                <c:pt idx="10">
                  <c:v>0.73460000000000036</c:v>
                </c:pt>
                <c:pt idx="11">
                  <c:v>0.79949999999999999</c:v>
                </c:pt>
                <c:pt idx="12">
                  <c:v>0.86350000000000005</c:v>
                </c:pt>
                <c:pt idx="13">
                  <c:v>0.9284</c:v>
                </c:pt>
                <c:pt idx="14">
                  <c:v>0.99349999999999972</c:v>
                </c:pt>
                <c:pt idx="15">
                  <c:v>1.0589999999999993</c:v>
                </c:pt>
                <c:pt idx="16">
                  <c:v>1.1240000000000001</c:v>
                </c:pt>
                <c:pt idx="17">
                  <c:v>1.1900000000000006</c:v>
                </c:pt>
                <c:pt idx="18">
                  <c:v>1.254</c:v>
                </c:pt>
                <c:pt idx="19">
                  <c:v>1.32</c:v>
                </c:pt>
                <c:pt idx="20">
                  <c:v>1.385</c:v>
                </c:pt>
                <c:pt idx="21">
                  <c:v>1.45</c:v>
                </c:pt>
                <c:pt idx="22">
                  <c:v>1.5129999999999992</c:v>
                </c:pt>
                <c:pt idx="23">
                  <c:v>1.5780000000000001</c:v>
                </c:pt>
              </c:numCache>
            </c:numRef>
          </c:cat>
          <c:val>
            <c:numRef>
              <c:f>Arkusz4!$A$1:$A$24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57386624"/>
        <c:axId val="157413376"/>
      </c:lineChart>
      <c:catAx>
        <c:axId val="1573866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573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57413376"/>
        <c:crosses val="autoZero"/>
        <c:auto val="1"/>
        <c:lblAlgn val="ctr"/>
        <c:lblOffset val="100"/>
      </c:catAx>
      <c:valAx>
        <c:axId val="157413376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889E-3"/>
              <c:y val="0.2287337797728555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57386624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25</cp:revision>
  <dcterms:created xsi:type="dcterms:W3CDTF">2007-06-11T15:09:00Z</dcterms:created>
  <dcterms:modified xsi:type="dcterms:W3CDTF">2010-02-17T12:35:00Z</dcterms:modified>
</cp:coreProperties>
</file>